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4" w:type="dxa"/>
        <w:tblInd w:w="108" w:type="dxa"/>
        <w:tblLayout w:type="fixed"/>
        <w:tblLook w:val="04A0" w:firstRow="1" w:lastRow="0" w:firstColumn="1" w:lastColumn="0" w:noHBand="0" w:noVBand="1"/>
      </w:tblPr>
      <w:tblGrid>
        <w:gridCol w:w="2438"/>
        <w:gridCol w:w="6406"/>
      </w:tblGrid>
      <w:tr w:rsidRPr="00975B07" w:rsidR="00CE544A" w:rsidTr="29496A36" w14:paraId="77465801" w14:textId="77777777">
        <w:tc>
          <w:tcPr>
            <w:tcW w:w="2438" w:type="dxa"/>
            <w:shd w:val="clear" w:color="auto" w:fill="auto"/>
            <w:tcMar/>
          </w:tcPr>
          <w:p w:rsidRPr="00975B07" w:rsidR="00F445B1" w:rsidP="004A6D2F" w:rsidRDefault="00F445B1" w14:paraId="083A94F9" w14:textId="77777777">
            <w:pPr>
              <w:rPr>
                <w:rStyle w:val="Firstpagetablebold"/>
              </w:rPr>
            </w:pPr>
            <w:r w:rsidRPr="00975B07">
              <w:rPr>
                <w:rStyle w:val="Firstpagetablebold"/>
              </w:rPr>
              <w:t>To</w:t>
            </w:r>
            <w:r w:rsidRPr="00975B07" w:rsidR="005C35A5">
              <w:rPr>
                <w:rStyle w:val="Firstpagetablebold"/>
              </w:rPr>
              <w:t>:</w:t>
            </w:r>
          </w:p>
        </w:tc>
        <w:tc>
          <w:tcPr>
            <w:tcW w:w="6406" w:type="dxa"/>
            <w:shd w:val="clear" w:color="auto" w:fill="auto"/>
            <w:tcMar/>
          </w:tcPr>
          <w:p w:rsidRPr="00F95BC9" w:rsidR="00F445B1" w:rsidP="29496A36" w:rsidRDefault="00925353" w14:paraId="6A1429A3" w14:textId="7FE060B8">
            <w:pPr>
              <w:pStyle w:val="Normal"/>
              <w:suppressLineNumbers w:val="0"/>
              <w:bidi w:val="0"/>
              <w:spacing w:before="0" w:beforeAutospacing="off" w:after="120" w:afterAutospacing="off" w:line="259" w:lineRule="auto"/>
              <w:ind w:left="0" w:right="0"/>
              <w:jc w:val="left"/>
              <w:rPr>
                <w:rStyle w:val="Firstpagetablebold"/>
              </w:rPr>
            </w:pPr>
            <w:r w:rsidRPr="29496A36" w:rsidR="00925353">
              <w:rPr>
                <w:rStyle w:val="Firstpagetablebold"/>
              </w:rPr>
              <w:t>C</w:t>
            </w:r>
            <w:r w:rsidRPr="29496A36" w:rsidR="63E5BD03">
              <w:rPr>
                <w:rStyle w:val="Firstpagetablebold"/>
              </w:rPr>
              <w:t>ouncil</w:t>
            </w:r>
          </w:p>
        </w:tc>
      </w:tr>
      <w:tr w:rsidRPr="00975B07" w:rsidR="00CE544A" w:rsidTr="29496A36" w14:paraId="679BCB2C" w14:textId="77777777">
        <w:tc>
          <w:tcPr>
            <w:tcW w:w="2438" w:type="dxa"/>
            <w:shd w:val="clear" w:color="auto" w:fill="auto"/>
            <w:tcMar/>
          </w:tcPr>
          <w:p w:rsidRPr="00975B07" w:rsidR="00F445B1" w:rsidP="004A6D2F" w:rsidRDefault="00F445B1" w14:paraId="3101716D" w14:textId="77777777">
            <w:pPr>
              <w:rPr>
                <w:rStyle w:val="Firstpagetablebold"/>
              </w:rPr>
            </w:pPr>
            <w:r w:rsidRPr="00975B07">
              <w:rPr>
                <w:rStyle w:val="Firstpagetablebold"/>
              </w:rPr>
              <w:t>Dat</w:t>
            </w:r>
            <w:r w:rsidRPr="00975B07" w:rsidR="005C35A5">
              <w:rPr>
                <w:rStyle w:val="Firstpagetablebold"/>
              </w:rPr>
              <w:t>e:</w:t>
            </w:r>
          </w:p>
        </w:tc>
        <w:tc>
          <w:tcPr>
            <w:tcW w:w="6406" w:type="dxa"/>
            <w:shd w:val="clear" w:color="auto" w:fill="auto"/>
            <w:tcMar/>
          </w:tcPr>
          <w:p w:rsidRPr="001356F1" w:rsidR="00F445B1" w:rsidP="2CF59C04" w:rsidRDefault="00EA121C" w14:paraId="724BE43E" w14:textId="0A1EAF83">
            <w:pPr>
              <w:rPr>
                <w:b w:val="1"/>
                <w:bCs w:val="1"/>
              </w:rPr>
            </w:pPr>
            <w:r w:rsidRPr="29496A36" w:rsidR="340B657E">
              <w:rPr>
                <w:rStyle w:val="Firstpagetablebold"/>
              </w:rPr>
              <w:t>7</w:t>
            </w:r>
            <w:r w:rsidRPr="29496A36" w:rsidR="00EA121C">
              <w:rPr>
                <w:rStyle w:val="Firstpagetablebold"/>
              </w:rPr>
              <w:t xml:space="preserve"> </w:t>
            </w:r>
            <w:r w:rsidRPr="29496A36" w:rsidR="62BBECF2">
              <w:rPr>
                <w:rStyle w:val="Firstpagetablebold"/>
              </w:rPr>
              <w:t xml:space="preserve">November </w:t>
            </w:r>
            <w:r w:rsidRPr="29496A36" w:rsidR="00EA121C">
              <w:rPr>
                <w:rStyle w:val="Firstpagetablebold"/>
              </w:rPr>
              <w:t>20</w:t>
            </w:r>
            <w:r w:rsidRPr="29496A36" w:rsidR="4398D477">
              <w:rPr>
                <w:rStyle w:val="Firstpagetablebold"/>
              </w:rPr>
              <w:t>23</w:t>
            </w:r>
          </w:p>
        </w:tc>
      </w:tr>
      <w:tr w:rsidRPr="00975B07" w:rsidR="00CE544A" w:rsidTr="29496A36" w14:paraId="12B73921" w14:textId="77777777">
        <w:tc>
          <w:tcPr>
            <w:tcW w:w="2438" w:type="dxa"/>
            <w:shd w:val="clear" w:color="auto" w:fill="auto"/>
            <w:tcMar/>
          </w:tcPr>
          <w:p w:rsidRPr="00975B07" w:rsidR="00F445B1" w:rsidP="004A6D2F" w:rsidRDefault="00F445B1" w14:paraId="7D368FDE" w14:textId="77777777">
            <w:pPr>
              <w:rPr>
                <w:rStyle w:val="Firstpagetablebold"/>
              </w:rPr>
            </w:pPr>
            <w:r w:rsidRPr="00975B07">
              <w:rPr>
                <w:rStyle w:val="Firstpagetablebold"/>
              </w:rPr>
              <w:t>Report of</w:t>
            </w:r>
            <w:r w:rsidRPr="00975B07" w:rsidR="005C35A5">
              <w:rPr>
                <w:rStyle w:val="Firstpagetablebold"/>
              </w:rPr>
              <w:t>:</w:t>
            </w:r>
          </w:p>
        </w:tc>
        <w:tc>
          <w:tcPr>
            <w:tcW w:w="6406" w:type="dxa"/>
            <w:shd w:val="clear" w:color="auto" w:fill="auto"/>
            <w:tcMar/>
          </w:tcPr>
          <w:p w:rsidRPr="001356F1" w:rsidR="00F445B1" w:rsidP="00925353" w:rsidRDefault="000D62EE" w14:paraId="3B4C4245" w14:textId="3379D830">
            <w:pPr>
              <w:rPr>
                <w:rStyle w:val="Firstpagetablebold"/>
              </w:rPr>
            </w:pPr>
            <w:r w:rsidRPr="50D5A4BB" w:rsidR="000D62EE">
              <w:rPr>
                <w:rStyle w:val="Firstpagetablebold"/>
              </w:rPr>
              <w:t>Head of Planning</w:t>
            </w:r>
            <w:r w:rsidRPr="50D5A4BB" w:rsidR="4B31D942">
              <w:rPr>
                <w:rStyle w:val="Firstpagetablebold"/>
              </w:rPr>
              <w:t xml:space="preserve"> </w:t>
            </w:r>
            <w:r w:rsidRPr="50D5A4BB" w:rsidR="09847E24">
              <w:rPr>
                <w:rStyle w:val="Firstpagetablebold"/>
              </w:rPr>
              <w:t xml:space="preserve">&amp; Regulatory </w:t>
            </w:r>
            <w:r w:rsidRPr="50D5A4BB" w:rsidR="4B31D942">
              <w:rPr>
                <w:rStyle w:val="Firstpagetablebold"/>
              </w:rPr>
              <w:t>Services</w:t>
            </w:r>
          </w:p>
        </w:tc>
      </w:tr>
      <w:tr w:rsidRPr="00975B07" w:rsidR="00CE544A" w:rsidTr="29496A36" w14:paraId="30560BDB" w14:textId="77777777">
        <w:tc>
          <w:tcPr>
            <w:tcW w:w="2438" w:type="dxa"/>
            <w:shd w:val="clear" w:color="auto" w:fill="auto"/>
            <w:tcMar/>
          </w:tcPr>
          <w:p w:rsidRPr="00975B07" w:rsidR="00F445B1" w:rsidP="004A6D2F" w:rsidRDefault="00F445B1" w14:paraId="65867D8D" w14:textId="77777777">
            <w:pPr>
              <w:rPr>
                <w:rStyle w:val="Firstpagetablebold"/>
              </w:rPr>
            </w:pPr>
            <w:r w:rsidRPr="00975B07">
              <w:rPr>
                <w:rStyle w:val="Firstpagetablebold"/>
              </w:rPr>
              <w:t xml:space="preserve">Title of Report: </w:t>
            </w:r>
          </w:p>
        </w:tc>
        <w:tc>
          <w:tcPr>
            <w:tcW w:w="6406" w:type="dxa"/>
            <w:shd w:val="clear" w:color="auto" w:fill="auto"/>
            <w:tcMar/>
          </w:tcPr>
          <w:p w:rsidRPr="001356F1" w:rsidR="00F445B1" w:rsidP="00925353" w:rsidRDefault="00EA121C" w14:paraId="4F96F2B4" w14:textId="77777777">
            <w:pPr>
              <w:rPr>
                <w:rStyle w:val="Firstpagetablebold"/>
              </w:rPr>
            </w:pPr>
            <w:r>
              <w:rPr>
                <w:rStyle w:val="Firstpagetablebold"/>
              </w:rPr>
              <w:t xml:space="preserve">Proposed Submission Draft </w:t>
            </w:r>
            <w:r w:rsidR="000D62EE">
              <w:rPr>
                <w:rStyle w:val="Firstpagetablebold"/>
              </w:rPr>
              <w:t>Oxford Local Plan 20</w:t>
            </w:r>
            <w:r w:rsidR="00925353">
              <w:rPr>
                <w:rStyle w:val="Firstpagetablebold"/>
              </w:rPr>
              <w:t>40</w:t>
            </w:r>
            <w:r w:rsidR="000D62EE">
              <w:rPr>
                <w:rStyle w:val="Firstpagetablebold"/>
              </w:rPr>
              <w:t xml:space="preserve"> </w:t>
            </w:r>
          </w:p>
        </w:tc>
      </w:tr>
    </w:tbl>
    <w:p w:rsidR="004F20EF" w:rsidP="004A6D2F" w:rsidRDefault="004F20EF" w14:paraId="672A6659" w14:textId="77777777"/>
    <w:tbl>
      <w:tblPr>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426"/>
        <w:gridCol w:w="1887"/>
        <w:gridCol w:w="5751"/>
      </w:tblGrid>
      <w:tr w:rsidR="00D5547E" w:rsidTr="29496A36" w14:paraId="52694351" w14:textId="77777777">
        <w:tc>
          <w:tcPr>
            <w:tcW w:w="8845" w:type="dxa"/>
            <w:gridSpan w:val="3"/>
            <w:tcBorders>
              <w:bottom w:val="single" w:color="000000" w:themeColor="text1" w:sz="8" w:space="0"/>
            </w:tcBorders>
            <w:tcMar/>
            <w:hideMark/>
          </w:tcPr>
          <w:p w:rsidR="00D5547E" w:rsidP="00745BF0" w:rsidRDefault="00745BF0" w14:paraId="743A6AB8" w14:textId="77777777">
            <w:pPr>
              <w:jc w:val="center"/>
              <w:rPr>
                <w:rStyle w:val="Firstpagetablebold"/>
              </w:rPr>
            </w:pPr>
            <w:r>
              <w:rPr>
                <w:rStyle w:val="Firstpagetablebold"/>
              </w:rPr>
              <w:t>Summary and r</w:t>
            </w:r>
            <w:r w:rsidR="00D5547E">
              <w:rPr>
                <w:rStyle w:val="Firstpagetablebold"/>
              </w:rPr>
              <w:t>ecommendations</w:t>
            </w:r>
          </w:p>
        </w:tc>
      </w:tr>
      <w:tr w:rsidR="00D5547E" w:rsidTr="29496A36" w14:paraId="73ED7EF6" w14:textId="77777777">
        <w:tc>
          <w:tcPr>
            <w:tcW w:w="2438" w:type="dxa"/>
            <w:gridSpan w:val="2"/>
            <w:tcBorders>
              <w:top w:val="single" w:color="000000" w:themeColor="text1" w:sz="8" w:space="0"/>
              <w:left w:val="single" w:color="000000" w:themeColor="text1" w:sz="8" w:space="0"/>
              <w:bottom w:val="nil"/>
              <w:right w:val="nil"/>
            </w:tcBorders>
            <w:tcMar/>
            <w:hideMark/>
          </w:tcPr>
          <w:p w:rsidR="00D5547E" w:rsidRDefault="00D5547E" w14:paraId="6BEDB967" w14:textId="77777777">
            <w:pPr>
              <w:rPr>
                <w:rStyle w:val="Firstpagetablebold"/>
              </w:rPr>
            </w:pPr>
            <w:r>
              <w:rPr>
                <w:rStyle w:val="Firstpagetablebold"/>
              </w:rPr>
              <w:t>Purpose of report:</w:t>
            </w:r>
          </w:p>
        </w:tc>
        <w:tc>
          <w:tcPr>
            <w:tcW w:w="6407" w:type="dxa"/>
            <w:tcBorders>
              <w:top w:val="single" w:color="000000" w:themeColor="text1" w:sz="8" w:space="0"/>
              <w:left w:val="nil"/>
              <w:bottom w:val="nil"/>
              <w:right w:val="single" w:color="000000" w:themeColor="text1" w:sz="8" w:space="0"/>
            </w:tcBorders>
            <w:tcMar/>
            <w:hideMark/>
          </w:tcPr>
          <w:p w:rsidRPr="001356F1" w:rsidR="007608D9" w:rsidP="0099395D" w:rsidRDefault="0099395D" w14:paraId="5E0A01F8" w14:textId="1C0221CD">
            <w:pPr>
              <w:rPr>
                <w:sz w:val="23"/>
                <w:szCs w:val="23"/>
              </w:rPr>
            </w:pPr>
            <w:r w:rsidRPr="29496A36" w:rsidR="0099395D">
              <w:rPr>
                <w:sz w:val="23"/>
                <w:szCs w:val="23"/>
              </w:rPr>
              <w:t>That</w:t>
            </w:r>
            <w:r w:rsidRPr="29496A36" w:rsidR="40E693BA">
              <w:rPr>
                <w:sz w:val="23"/>
                <w:szCs w:val="23"/>
              </w:rPr>
              <w:t xml:space="preserve"> C</w:t>
            </w:r>
            <w:r w:rsidRPr="29496A36" w:rsidR="1B72BE0E">
              <w:rPr>
                <w:sz w:val="23"/>
                <w:szCs w:val="23"/>
              </w:rPr>
              <w:t xml:space="preserve">ouncil </w:t>
            </w:r>
            <w:r w:rsidRPr="29496A36" w:rsidR="40E693BA">
              <w:rPr>
                <w:sz w:val="23"/>
                <w:szCs w:val="23"/>
              </w:rPr>
              <w:t>consider the</w:t>
            </w:r>
            <w:r w:rsidRPr="29496A36" w:rsidR="0099395D">
              <w:rPr>
                <w:sz w:val="23"/>
                <w:szCs w:val="23"/>
              </w:rPr>
              <w:t xml:space="preserve"> </w:t>
            </w:r>
            <w:r w:rsidRPr="29496A36" w:rsidR="40E693BA">
              <w:rPr>
                <w:sz w:val="23"/>
                <w:szCs w:val="23"/>
              </w:rPr>
              <w:t xml:space="preserve">Oxford Local Plan 2040 Proposed Submission Document for public consultation </w:t>
            </w:r>
            <w:r w:rsidRPr="29496A36" w:rsidR="40E693BA">
              <w:rPr>
                <w:sz w:val="23"/>
                <w:szCs w:val="23"/>
              </w:rPr>
              <w:t xml:space="preserve">and </w:t>
            </w:r>
            <w:r w:rsidRPr="29496A36" w:rsidR="5BCA24E8">
              <w:rPr>
                <w:sz w:val="23"/>
                <w:szCs w:val="23"/>
              </w:rPr>
              <w:t xml:space="preserve">approve it </w:t>
            </w:r>
            <w:r w:rsidRPr="29496A36" w:rsidR="40E693BA">
              <w:rPr>
                <w:sz w:val="23"/>
                <w:szCs w:val="23"/>
              </w:rPr>
              <w:t>for consultation and</w:t>
            </w:r>
            <w:r w:rsidRPr="29496A36" w:rsidR="005C7CFA">
              <w:rPr>
                <w:sz w:val="23"/>
                <w:szCs w:val="23"/>
              </w:rPr>
              <w:t>, subject to the outcome of the consultation</w:t>
            </w:r>
            <w:r w:rsidRPr="29496A36" w:rsidR="00EB7DF4">
              <w:rPr>
                <w:sz w:val="23"/>
                <w:szCs w:val="23"/>
              </w:rPr>
              <w:t xml:space="preserve">, if no matters are raised that </w:t>
            </w:r>
            <w:r w:rsidRPr="29496A36" w:rsidR="00EB7DF4">
              <w:rPr>
                <w:sz w:val="23"/>
                <w:szCs w:val="23"/>
              </w:rPr>
              <w:t>materi</w:t>
            </w:r>
            <w:r w:rsidRPr="29496A36" w:rsidR="00EB7DF4">
              <w:rPr>
                <w:sz w:val="23"/>
                <w:szCs w:val="23"/>
              </w:rPr>
              <w:t xml:space="preserve">ally </w:t>
            </w:r>
            <w:r w:rsidRPr="29496A36" w:rsidR="00EB7DF4">
              <w:rPr>
                <w:sz w:val="23"/>
                <w:szCs w:val="23"/>
              </w:rPr>
              <w:t>i</w:t>
            </w:r>
            <w:r w:rsidRPr="29496A36" w:rsidR="00572539">
              <w:rPr>
                <w:sz w:val="23"/>
                <w:szCs w:val="23"/>
              </w:rPr>
              <w:t>m</w:t>
            </w:r>
            <w:r w:rsidRPr="29496A36" w:rsidR="00EB7DF4">
              <w:rPr>
                <w:sz w:val="23"/>
                <w:szCs w:val="23"/>
              </w:rPr>
              <w:t>pact</w:t>
            </w:r>
            <w:r w:rsidRPr="29496A36" w:rsidR="00EB7DF4">
              <w:rPr>
                <w:sz w:val="23"/>
                <w:szCs w:val="23"/>
              </w:rPr>
              <w:t xml:space="preserve"> upon the Plan</w:t>
            </w:r>
            <w:r w:rsidRPr="29496A36" w:rsidR="00EB7DF4">
              <w:rPr>
                <w:sz w:val="23"/>
                <w:szCs w:val="23"/>
              </w:rPr>
              <w:t xml:space="preserve"> strat</w:t>
            </w:r>
            <w:r w:rsidRPr="29496A36" w:rsidR="00EB7DF4">
              <w:rPr>
                <w:sz w:val="23"/>
                <w:szCs w:val="23"/>
              </w:rPr>
              <w:t>egy,</w:t>
            </w:r>
            <w:r w:rsidRPr="29496A36" w:rsidR="005C7CFA">
              <w:rPr>
                <w:sz w:val="23"/>
                <w:szCs w:val="23"/>
              </w:rPr>
              <w:t xml:space="preserve"> </w:t>
            </w:r>
            <w:r w:rsidRPr="29496A36" w:rsidR="005C7CFA">
              <w:rPr>
                <w:sz w:val="23"/>
                <w:szCs w:val="23"/>
              </w:rPr>
              <w:t>submit</w:t>
            </w:r>
            <w:r w:rsidRPr="29496A36" w:rsidR="005C7CFA">
              <w:rPr>
                <w:sz w:val="23"/>
                <w:szCs w:val="23"/>
              </w:rPr>
              <w:t xml:space="preserve"> the </w:t>
            </w:r>
            <w:r w:rsidRPr="29496A36" w:rsidR="005D4044">
              <w:rPr>
                <w:sz w:val="23"/>
                <w:szCs w:val="23"/>
              </w:rPr>
              <w:t>Submission Draft Oxford Local Pla</w:t>
            </w:r>
            <w:r w:rsidRPr="29496A36" w:rsidR="005D4044">
              <w:rPr>
                <w:sz w:val="23"/>
                <w:szCs w:val="23"/>
              </w:rPr>
              <w:t>n</w:t>
            </w:r>
            <w:r w:rsidRPr="29496A36" w:rsidR="005C7CFA">
              <w:rPr>
                <w:sz w:val="23"/>
                <w:szCs w:val="23"/>
              </w:rPr>
              <w:t xml:space="preserve"> </w:t>
            </w:r>
            <w:r w:rsidRPr="29496A36" w:rsidR="37688391">
              <w:rPr>
                <w:sz w:val="23"/>
                <w:szCs w:val="23"/>
              </w:rPr>
              <w:t xml:space="preserve">2040 </w:t>
            </w:r>
            <w:r w:rsidRPr="29496A36" w:rsidR="005C7CFA">
              <w:rPr>
                <w:sz w:val="23"/>
                <w:szCs w:val="23"/>
              </w:rPr>
              <w:t>to the Secretary of State for formal examination.</w:t>
            </w:r>
          </w:p>
        </w:tc>
      </w:tr>
      <w:tr w:rsidR="00D5547E" w:rsidTr="29496A36" w14:paraId="2C4442CA" w14:textId="77777777">
        <w:tc>
          <w:tcPr>
            <w:tcW w:w="2438" w:type="dxa"/>
            <w:gridSpan w:val="2"/>
            <w:tcBorders>
              <w:top w:val="nil"/>
              <w:left w:val="single" w:color="000000" w:themeColor="text1" w:sz="8" w:space="0"/>
              <w:bottom w:val="nil"/>
              <w:right w:val="nil"/>
            </w:tcBorders>
            <w:tcMar/>
            <w:hideMark/>
          </w:tcPr>
          <w:p w:rsidR="00D5547E" w:rsidRDefault="00D5547E" w14:paraId="3BAB0F11" w14:textId="77777777">
            <w:pPr>
              <w:rPr>
                <w:rStyle w:val="Firstpagetablebold"/>
              </w:rPr>
            </w:pPr>
            <w:r>
              <w:rPr>
                <w:rStyle w:val="Firstpagetablebold"/>
              </w:rPr>
              <w:t>Key decision:</w:t>
            </w:r>
          </w:p>
        </w:tc>
        <w:tc>
          <w:tcPr>
            <w:tcW w:w="6407" w:type="dxa"/>
            <w:tcBorders>
              <w:top w:val="nil"/>
              <w:left w:val="nil"/>
              <w:bottom w:val="nil"/>
              <w:right w:val="single" w:color="000000" w:themeColor="text1" w:sz="8" w:space="0"/>
            </w:tcBorders>
            <w:tcMar/>
            <w:hideMark/>
          </w:tcPr>
          <w:p w:rsidRPr="001356F1" w:rsidR="00D5547E" w:rsidP="00DB3688" w:rsidRDefault="00D5547E" w14:paraId="458939D2" w14:textId="77777777">
            <w:r w:rsidRPr="001356F1">
              <w:t xml:space="preserve">Yes </w:t>
            </w:r>
          </w:p>
        </w:tc>
      </w:tr>
      <w:tr w:rsidR="00D5547E" w:rsidTr="29496A36" w14:paraId="000F480B" w14:textId="77777777">
        <w:tc>
          <w:tcPr>
            <w:tcW w:w="2438" w:type="dxa"/>
            <w:gridSpan w:val="2"/>
            <w:tcBorders>
              <w:top w:val="nil"/>
              <w:left w:val="single" w:color="000000" w:themeColor="text1" w:sz="8" w:space="0"/>
              <w:bottom w:val="nil"/>
              <w:right w:val="nil"/>
            </w:tcBorders>
            <w:tcMar/>
            <w:hideMark/>
          </w:tcPr>
          <w:p w:rsidR="00D5547E" w:rsidP="4083A299" w:rsidRDefault="00D5547E" w14:paraId="116CCAE7" w14:textId="6D51622A">
            <w:pPr>
              <w:pStyle w:val="Normal"/>
              <w:rPr>
                <w:rStyle w:val="Firstpagetablebold"/>
              </w:rPr>
            </w:pPr>
            <w:r w:rsidRPr="50D5A4BB" w:rsidR="25BE814A">
              <w:rPr>
                <w:rStyle w:val="Firstpagetablebold"/>
              </w:rPr>
              <w:t xml:space="preserve"> Cabinet</w:t>
            </w:r>
            <w:r w:rsidRPr="50D5A4BB" w:rsidR="25BE814A">
              <w:rPr>
                <w:rStyle w:val="Firstpagetablebold"/>
              </w:rPr>
              <w:t xml:space="preserve"> </w:t>
            </w:r>
            <w:r w:rsidRPr="50D5A4BB" w:rsidR="6C9129E4">
              <w:rPr>
                <w:rStyle w:val="Firstpagetablebold"/>
              </w:rPr>
              <w:t>Member:</w:t>
            </w:r>
          </w:p>
        </w:tc>
        <w:tc>
          <w:tcPr>
            <w:tcW w:w="6407" w:type="dxa"/>
            <w:tcBorders>
              <w:top w:val="nil"/>
              <w:left w:val="nil"/>
              <w:bottom w:val="nil"/>
              <w:right w:val="single" w:color="000000" w:themeColor="text1" w:sz="8" w:space="0"/>
            </w:tcBorders>
            <w:tcMar/>
            <w:hideMark/>
          </w:tcPr>
          <w:p w:rsidRPr="001356F1" w:rsidR="00D5547E" w:rsidP="00D80677" w:rsidRDefault="031DC1E1" w14:paraId="0513AB1E" w14:textId="41321209">
            <w:r>
              <w:t>Louise Upton</w:t>
            </w:r>
            <w:r w:rsidR="5B59217D">
              <w:t xml:space="preserve">, </w:t>
            </w:r>
            <w:r w:rsidR="6C352B61">
              <w:t xml:space="preserve">Cabinet </w:t>
            </w:r>
            <w:r w:rsidR="000D62EE">
              <w:t xml:space="preserve">Member for Planning and </w:t>
            </w:r>
            <w:r w:rsidR="4D72D46B">
              <w:t xml:space="preserve">Healthier Communities </w:t>
            </w:r>
          </w:p>
        </w:tc>
      </w:tr>
      <w:tr w:rsidR="0080749A" w:rsidTr="29496A36" w14:paraId="2956C3EC" w14:textId="77777777">
        <w:tc>
          <w:tcPr>
            <w:tcW w:w="2438" w:type="dxa"/>
            <w:gridSpan w:val="2"/>
            <w:tcBorders>
              <w:top w:val="nil"/>
              <w:left w:val="single" w:color="000000" w:themeColor="text1" w:sz="8" w:space="0"/>
              <w:bottom w:val="nil"/>
              <w:right w:val="nil"/>
            </w:tcBorders>
            <w:tcMar/>
          </w:tcPr>
          <w:p w:rsidR="0080749A" w:rsidRDefault="0080749A" w14:paraId="1023AC0E" w14:textId="77777777">
            <w:pPr>
              <w:rPr>
                <w:rStyle w:val="Firstpagetablebold"/>
              </w:rPr>
            </w:pPr>
            <w:r>
              <w:rPr>
                <w:rStyle w:val="Firstpagetablebold"/>
              </w:rPr>
              <w:t>Corporate Priority:</w:t>
            </w:r>
          </w:p>
        </w:tc>
        <w:tc>
          <w:tcPr>
            <w:tcW w:w="6407" w:type="dxa"/>
            <w:tcBorders>
              <w:top w:val="nil"/>
              <w:left w:val="nil"/>
              <w:bottom w:val="nil"/>
              <w:right w:val="single" w:color="000000" w:themeColor="text1" w:sz="8" w:space="0"/>
            </w:tcBorders>
            <w:tcMar/>
          </w:tcPr>
          <w:p w:rsidRPr="001356F1" w:rsidR="0080749A" w:rsidP="00D80677" w:rsidRDefault="00D80677" w14:paraId="69A72F6B" w14:textId="77777777">
            <w:r>
              <w:t xml:space="preserve">Enable an inclusive economy; deliver more affordable housing; support thriving communities; pursue a zero-carbon Oxford  </w:t>
            </w:r>
          </w:p>
        </w:tc>
      </w:tr>
      <w:tr w:rsidR="00D5547E" w:rsidTr="29496A36" w14:paraId="125C183D" w14:textId="77777777">
        <w:tc>
          <w:tcPr>
            <w:tcW w:w="2438" w:type="dxa"/>
            <w:gridSpan w:val="2"/>
            <w:tcBorders>
              <w:top w:val="nil"/>
              <w:left w:val="single" w:color="000000" w:themeColor="text1" w:sz="8" w:space="0"/>
              <w:bottom w:val="nil"/>
              <w:right w:val="nil"/>
            </w:tcBorders>
            <w:tcMar/>
            <w:hideMark/>
          </w:tcPr>
          <w:p w:rsidR="00D5547E" w:rsidRDefault="00D5547E" w14:paraId="355763C8" w14:textId="77777777">
            <w:pPr>
              <w:rPr>
                <w:rStyle w:val="Firstpagetablebold"/>
              </w:rPr>
            </w:pPr>
            <w:r>
              <w:rPr>
                <w:rStyle w:val="Firstpagetablebold"/>
              </w:rPr>
              <w:t>Policy Framework:</w:t>
            </w:r>
          </w:p>
        </w:tc>
        <w:tc>
          <w:tcPr>
            <w:tcW w:w="6407" w:type="dxa"/>
            <w:tcBorders>
              <w:top w:val="nil"/>
              <w:left w:val="nil"/>
              <w:bottom w:val="nil"/>
              <w:right w:val="single" w:color="000000" w:themeColor="text1" w:sz="8" w:space="0"/>
            </w:tcBorders>
            <w:tcMar/>
            <w:hideMark/>
          </w:tcPr>
          <w:p w:rsidRPr="001356F1" w:rsidR="00D5547E" w:rsidP="005F7F7E" w:rsidRDefault="00BA3DE0" w14:paraId="0F1D6C88" w14:textId="77777777">
            <w:r>
              <w:t>Development Plan Document</w:t>
            </w:r>
            <w:r w:rsidRPr="001356F1" w:rsidR="00D5547E">
              <w:t>.</w:t>
            </w:r>
          </w:p>
        </w:tc>
      </w:tr>
      <w:tr w:rsidRPr="00975B07" w:rsidR="005F7F7E" w:rsidTr="29496A36" w14:paraId="7C4E11F4" w14:textId="77777777">
        <w:trPr>
          <w:trHeight w:val="413"/>
        </w:trPr>
        <w:tc>
          <w:tcPr>
            <w:tcW w:w="8845" w:type="dxa"/>
            <w:gridSpan w:val="3"/>
            <w:tcBorders>
              <w:bottom w:val="single" w:color="000000" w:themeColor="text1" w:sz="8" w:space="0"/>
            </w:tcBorders>
            <w:tcMar/>
          </w:tcPr>
          <w:p w:rsidRPr="00975B07" w:rsidR="005F7F7E" w:rsidP="0099395D" w:rsidRDefault="005F7F7E" w14:paraId="6F7C7FA9" w14:textId="7C417964">
            <w:r w:rsidRPr="29496A36" w:rsidR="599CA396">
              <w:rPr>
                <w:rStyle w:val="Firstpagetablebold"/>
              </w:rPr>
              <w:t>Recommendation(s):</w:t>
            </w:r>
            <w:r w:rsidRPr="29496A36" w:rsidR="3510F080">
              <w:rPr>
                <w:rStyle w:val="Firstpagetablebold"/>
              </w:rPr>
              <w:t xml:space="preserve"> </w:t>
            </w:r>
            <w:r w:rsidRPr="29496A36" w:rsidR="599CA396">
              <w:rPr>
                <w:rStyle w:val="Firstpagetablebold"/>
              </w:rPr>
              <w:t xml:space="preserve">That </w:t>
            </w:r>
            <w:r w:rsidRPr="29496A36" w:rsidR="3BF07E79">
              <w:rPr>
                <w:rStyle w:val="Firstpagetablebold"/>
              </w:rPr>
              <w:t>C</w:t>
            </w:r>
            <w:r w:rsidRPr="29496A36" w:rsidR="21B975E3">
              <w:rPr>
                <w:rStyle w:val="Firstpagetablebold"/>
              </w:rPr>
              <w:t>ouncil</w:t>
            </w:r>
            <w:r w:rsidRPr="29496A36" w:rsidR="599CA396">
              <w:rPr>
                <w:rStyle w:val="Firstpagetablebold"/>
              </w:rPr>
              <w:t>:</w:t>
            </w:r>
          </w:p>
        </w:tc>
      </w:tr>
      <w:tr w:rsidRPr="00975B07" w:rsidR="0030208D" w:rsidTr="29496A36" w14:paraId="2A10C5A4" w14:textId="77777777">
        <w:trPr>
          <w:trHeight w:val="283"/>
        </w:trPr>
        <w:tc>
          <w:tcPr>
            <w:tcW w:w="426" w:type="dxa"/>
            <w:tcBorders>
              <w:top w:val="single" w:color="000000" w:themeColor="text1" w:sz="8" w:space="0"/>
              <w:left w:val="single" w:color="000000" w:themeColor="text1" w:sz="8" w:space="0"/>
              <w:bottom w:val="nil"/>
              <w:right w:val="nil"/>
            </w:tcBorders>
            <w:tcMar/>
          </w:tcPr>
          <w:p w:rsidRPr="00975B07" w:rsidR="0030208D" w:rsidP="004A6D2F" w:rsidRDefault="0030208D" w14:paraId="0A37501D" w14:textId="77777777"/>
        </w:tc>
        <w:tc>
          <w:tcPr>
            <w:tcW w:w="8419" w:type="dxa"/>
            <w:gridSpan w:val="2"/>
            <w:tcBorders>
              <w:top w:val="single" w:color="000000" w:themeColor="text1" w:sz="8" w:space="0"/>
              <w:left w:val="nil"/>
              <w:bottom w:val="nil"/>
              <w:right w:val="single" w:color="000000" w:themeColor="text1" w:sz="8" w:space="0"/>
            </w:tcBorders>
            <w:shd w:val="clear" w:color="auto" w:fill="auto"/>
            <w:tcMar/>
          </w:tcPr>
          <w:p w:rsidRPr="005C7CFA" w:rsidR="005C7CFA" w:rsidP="005C7CFA" w:rsidRDefault="00190BC8" w14:paraId="35769EE0" w14:textId="6B959EB8">
            <w:pPr>
              <w:numPr>
                <w:ilvl w:val="0"/>
                <w:numId w:val="16"/>
              </w:numPr>
              <w:autoSpaceDE w:val="0"/>
              <w:autoSpaceDN w:val="0"/>
              <w:adjustRightInd w:val="0"/>
              <w:spacing w:before="100" w:beforeAutospacing="1" w:after="100" w:afterAutospacing="1"/>
              <w:rPr>
                <w:rFonts w:cs="Arial"/>
              </w:rPr>
            </w:pPr>
            <w:r>
              <w:rPr>
                <w:rFonts w:cs="Arial"/>
              </w:rPr>
              <w:t>A</w:t>
            </w:r>
            <w:r w:rsidRPr="005C7CFA">
              <w:rPr>
                <w:rFonts w:cs="Arial"/>
              </w:rPr>
              <w:t xml:space="preserve">pprove </w:t>
            </w:r>
            <w:r w:rsidRPr="005C7CFA" w:rsidR="005C7CFA">
              <w:rPr>
                <w:rFonts w:cs="Arial"/>
              </w:rPr>
              <w:t>the Oxford Local Plan 20</w:t>
            </w:r>
            <w:r w:rsidR="00925353">
              <w:rPr>
                <w:rFonts w:cs="Arial"/>
              </w:rPr>
              <w:t>40</w:t>
            </w:r>
            <w:r w:rsidRPr="005C7CFA" w:rsidR="005C7CFA">
              <w:rPr>
                <w:rFonts w:cs="Arial"/>
              </w:rPr>
              <w:t xml:space="preserve"> Proposed Submission Document for consultation; </w:t>
            </w:r>
          </w:p>
          <w:p w:rsidRPr="005C7CFA" w:rsidR="005C7CFA" w:rsidP="29496A36" w:rsidRDefault="005C7CFA" w14:paraId="69B0F724" w14:textId="242627D0">
            <w:pPr>
              <w:numPr>
                <w:ilvl w:val="0"/>
                <w:numId w:val="16"/>
              </w:numPr>
              <w:autoSpaceDE w:val="0"/>
              <w:autoSpaceDN w:val="0"/>
              <w:adjustRightInd w:val="0"/>
              <w:spacing w:before="100" w:beforeAutospacing="on" w:after="100" w:afterAutospacing="on"/>
              <w:rPr>
                <w:rFonts w:cs="Arial"/>
              </w:rPr>
            </w:pPr>
            <w:r w:rsidRPr="29496A36" w:rsidR="540B1A46">
              <w:rPr>
                <w:rFonts w:cs="Arial"/>
                <w:color w:val="auto"/>
                <w:lang w:eastAsia="en-US"/>
              </w:rPr>
              <w:t>A</w:t>
            </w:r>
            <w:r w:rsidRPr="29496A36" w:rsidR="005C7CFA">
              <w:rPr>
                <w:rFonts w:cs="Arial"/>
                <w:color w:val="auto"/>
                <w:lang w:eastAsia="en-US"/>
              </w:rPr>
              <w:t xml:space="preserve">pprove the </w:t>
            </w:r>
            <w:r w:rsidRPr="29496A36" w:rsidR="00A630F9">
              <w:rPr>
                <w:rFonts w:cs="Arial"/>
                <w:color w:val="auto"/>
                <w:lang w:eastAsia="en-US"/>
              </w:rPr>
              <w:t xml:space="preserve">following </w:t>
            </w:r>
            <w:r w:rsidRPr="29496A36" w:rsidR="005C7CFA">
              <w:rPr>
                <w:rFonts w:cs="Arial"/>
                <w:color w:val="auto"/>
                <w:lang w:eastAsia="en-US"/>
              </w:rPr>
              <w:t>supporting statutory documentation</w:t>
            </w:r>
            <w:r w:rsidRPr="29496A36" w:rsidR="00A630F9">
              <w:rPr>
                <w:rFonts w:cs="Arial"/>
                <w:color w:val="auto"/>
                <w:lang w:eastAsia="en-US"/>
              </w:rPr>
              <w:t xml:space="preserve">: </w:t>
            </w:r>
            <w:r w:rsidRPr="29496A36" w:rsidR="005C7CFA">
              <w:rPr>
                <w:rFonts w:cs="Arial"/>
                <w:color w:val="auto"/>
                <w:lang w:eastAsia="en-US"/>
              </w:rPr>
              <w:t>the Sustainability Appraisal, Habitats Regulation Assessment, Infrastructure Development Plan</w:t>
            </w:r>
            <w:r w:rsidRPr="29496A36" w:rsidR="00572539">
              <w:rPr>
                <w:rFonts w:cs="Arial"/>
                <w:color w:val="auto"/>
                <w:lang w:eastAsia="en-US"/>
              </w:rPr>
              <w:t xml:space="preserve"> (IDP)</w:t>
            </w:r>
            <w:r w:rsidRPr="29496A36" w:rsidR="00A630F9">
              <w:rPr>
                <w:rFonts w:cs="Arial"/>
                <w:color w:val="auto"/>
                <w:lang w:eastAsia="en-US"/>
              </w:rPr>
              <w:t xml:space="preserve"> and</w:t>
            </w:r>
            <w:r w:rsidRPr="29496A36" w:rsidR="005C7CFA">
              <w:rPr>
                <w:rFonts w:cs="Arial"/>
                <w:color w:val="auto"/>
                <w:lang w:eastAsia="en-US"/>
              </w:rPr>
              <w:t xml:space="preserve"> Equalities Impact Assessment;</w:t>
            </w:r>
          </w:p>
          <w:p w:rsidRPr="005C7CFA" w:rsidR="005C7CFA" w:rsidP="4083A299" w:rsidRDefault="005C7CFA" w14:paraId="15009587" w14:textId="6597D22C">
            <w:pPr>
              <w:numPr>
                <w:ilvl w:val="0"/>
                <w:numId w:val="16"/>
              </w:numPr>
              <w:tabs>
                <w:tab w:val="left" w:pos="426"/>
              </w:tabs>
              <w:spacing w:before="100" w:beforeAutospacing="on" w:after="100" w:afterAutospacing="on"/>
              <w:rPr>
                <w:rFonts w:cs="Arial"/>
              </w:rPr>
            </w:pPr>
            <w:r w:rsidRPr="29496A36" w:rsidR="1E0C224D">
              <w:rPr>
                <w:rFonts w:cs="Arial"/>
              </w:rPr>
              <w:t>A</w:t>
            </w:r>
            <w:r w:rsidRPr="29496A36" w:rsidR="005C7CFA">
              <w:rPr>
                <w:rFonts w:cs="Arial"/>
              </w:rPr>
              <w:t>uthorise the Head of Planning</w:t>
            </w:r>
            <w:r w:rsidRPr="29496A36" w:rsidR="54DC92C9">
              <w:rPr>
                <w:rFonts w:cs="Arial"/>
              </w:rPr>
              <w:t xml:space="preserve"> </w:t>
            </w:r>
            <w:r w:rsidRPr="29496A36" w:rsidR="5C8DF616">
              <w:rPr>
                <w:rFonts w:cs="Arial"/>
              </w:rPr>
              <w:t xml:space="preserve">&amp; Regulatory </w:t>
            </w:r>
            <w:r w:rsidRPr="29496A36" w:rsidR="54DC92C9">
              <w:rPr>
                <w:rFonts w:cs="Arial"/>
              </w:rPr>
              <w:t>Services</w:t>
            </w:r>
            <w:r w:rsidRPr="29496A36" w:rsidR="005C7CFA">
              <w:rPr>
                <w:rFonts w:cs="Arial"/>
              </w:rPr>
              <w:t xml:space="preserve">, </w:t>
            </w:r>
            <w:r w:rsidRPr="29496A36" w:rsidR="6B33077C">
              <w:rPr>
                <w:rFonts w:cs="Arial"/>
              </w:rPr>
              <w:t>after</w:t>
            </w:r>
            <w:r w:rsidRPr="29496A36" w:rsidR="005C7CFA">
              <w:rPr>
                <w:rFonts w:cs="Arial"/>
              </w:rPr>
              <w:t xml:space="preserve"> consultation with the </w:t>
            </w:r>
            <w:r w:rsidRPr="29496A36" w:rsidR="54DC92C9">
              <w:rPr>
                <w:rFonts w:cs="Arial"/>
              </w:rPr>
              <w:t>Lead Cabinet</w:t>
            </w:r>
            <w:r w:rsidRPr="29496A36" w:rsidR="005C7CFA">
              <w:rPr>
                <w:rFonts w:cs="Arial"/>
              </w:rPr>
              <w:t xml:space="preserve"> Member, to make any necessary </w:t>
            </w:r>
            <w:r w:rsidRPr="29496A36" w:rsidR="00A630F9">
              <w:rPr>
                <w:rFonts w:cs="Arial"/>
              </w:rPr>
              <w:t>minor typographical changes and modification</w:t>
            </w:r>
            <w:r w:rsidRPr="29496A36" w:rsidR="32E80FB1">
              <w:rPr>
                <w:rFonts w:cs="Arial"/>
              </w:rPr>
              <w:t>s</w:t>
            </w:r>
            <w:r w:rsidRPr="29496A36" w:rsidR="00A630F9">
              <w:rPr>
                <w:rFonts w:cs="Arial"/>
              </w:rPr>
              <w:t xml:space="preserve"> t</w:t>
            </w:r>
            <w:r w:rsidRPr="29496A36" w:rsidR="005C7CFA">
              <w:rPr>
                <w:rFonts w:cs="Arial"/>
              </w:rPr>
              <w:t xml:space="preserve">o the document, IDP, Sustainability Appraisal and </w:t>
            </w:r>
            <w:r w:rsidRPr="29496A36" w:rsidR="005C7CFA">
              <w:rPr>
                <w:rFonts w:cs="Arial"/>
              </w:rPr>
              <w:t>Habitat</w:t>
            </w:r>
            <w:r w:rsidRPr="29496A36" w:rsidR="005C7CFA">
              <w:rPr>
                <w:rFonts w:cs="Arial"/>
              </w:rPr>
              <w:t xml:space="preserve"> Regulation</w:t>
            </w:r>
            <w:r w:rsidRPr="29496A36" w:rsidR="25E97E32">
              <w:rPr>
                <w:rFonts w:cs="Arial"/>
              </w:rPr>
              <w:t>s</w:t>
            </w:r>
            <w:r w:rsidRPr="29496A36" w:rsidR="005C7CFA">
              <w:rPr>
                <w:rFonts w:cs="Arial"/>
              </w:rPr>
              <w:t xml:space="preserve"> Assessment, and to agree the </w:t>
            </w:r>
            <w:r w:rsidRPr="29496A36" w:rsidR="61C474CF">
              <w:rPr>
                <w:rFonts w:cs="Arial"/>
              </w:rPr>
              <w:t xml:space="preserve">final publication style </w:t>
            </w:r>
            <w:r w:rsidRPr="29496A36" w:rsidR="0099395D">
              <w:rPr>
                <w:rFonts w:cs="Arial"/>
              </w:rPr>
              <w:t xml:space="preserve">of the </w:t>
            </w:r>
            <w:r w:rsidRPr="29496A36" w:rsidR="61C474CF">
              <w:rPr>
                <w:rFonts w:cs="Arial"/>
              </w:rPr>
              <w:t xml:space="preserve">draft </w:t>
            </w:r>
            <w:r w:rsidRPr="29496A36" w:rsidR="005C7CFA">
              <w:rPr>
                <w:rFonts w:cs="Arial"/>
              </w:rPr>
              <w:t>version</w:t>
            </w:r>
            <w:r w:rsidRPr="29496A36" w:rsidR="005C7CFA">
              <w:rPr>
                <w:rFonts w:cs="Arial"/>
              </w:rPr>
              <w:t xml:space="preserve"> before publication;</w:t>
            </w:r>
          </w:p>
          <w:p w:rsidRPr="005C7CFA" w:rsidR="005C7CFA" w:rsidP="50D5A4BB" w:rsidRDefault="005C7CFA" w14:paraId="76DEE35F" w14:textId="1F1C8335">
            <w:pPr>
              <w:numPr>
                <w:ilvl w:val="0"/>
                <w:numId w:val="16"/>
              </w:numPr>
              <w:autoSpaceDE w:val="0"/>
              <w:autoSpaceDN w:val="0"/>
              <w:adjustRightInd w:val="0"/>
              <w:spacing w:before="100" w:beforeAutospacing="on" w:after="100" w:afterAutospacing="on"/>
              <w:rPr>
                <w:rFonts w:cs="Arial"/>
              </w:rPr>
            </w:pPr>
            <w:r w:rsidRPr="005C7CFA" w:rsidR="0B41A0BC">
              <w:rPr>
                <w:rFonts w:cs="Arial"/>
              </w:rPr>
              <w:t xml:space="preserve">Following </w:t>
            </w:r>
            <w:r w:rsidRPr="005C7CFA" w:rsidR="005C7CFA">
              <w:rPr>
                <w:rFonts w:cs="Arial"/>
              </w:rPr>
              <w:t>publication</w:t>
            </w:r>
            <w:r w:rsidRPr="005C7CFA" w:rsidR="005C7CFA">
              <w:rPr>
                <w:rFonts w:cs="Arial"/>
              </w:rPr>
              <w:t>, authorise the Head of Planning</w:t>
            </w:r>
            <w:r w:rsidRPr="005C7CFA" w:rsidR="07F5CCFA">
              <w:rPr>
                <w:rFonts w:cs="Arial"/>
              </w:rPr>
              <w:t xml:space="preserve"> &amp; Regulatory</w:t>
            </w:r>
            <w:r w:rsidR="4B31D942">
              <w:rPr>
                <w:rFonts w:cs="Arial"/>
              </w:rPr>
              <w:t xml:space="preserve"> Services</w:t>
            </w:r>
            <w:r w:rsidRPr="005C7CFA" w:rsidR="005C7CFA">
              <w:rPr>
                <w:rFonts w:cs="Arial"/>
              </w:rPr>
              <w:t xml:space="preserve">, </w:t>
            </w:r>
            <w:r w:rsidR="6B33077C">
              <w:rPr>
                <w:rFonts w:cs="Arial"/>
              </w:rPr>
              <w:t>after</w:t>
            </w:r>
            <w:r w:rsidRPr="005C7CFA" w:rsidR="005C7CFA">
              <w:rPr>
                <w:rFonts w:cs="Arial"/>
              </w:rPr>
              <w:t xml:space="preserve"> consultation with the </w:t>
            </w:r>
            <w:r w:rsidR="3BF07E79">
              <w:rPr>
                <w:rFonts w:cs="Arial"/>
              </w:rPr>
              <w:t>Lead Cabinet</w:t>
            </w:r>
            <w:r w:rsidRPr="005C7CFA" w:rsidR="005C7CFA">
              <w:rPr>
                <w:rFonts w:cs="Arial"/>
              </w:rPr>
              <w:t xml:space="preserve"> Member, to make any </w:t>
            </w:r>
            <w:r w:rsidRPr="00A73E54" w:rsidR="005C7CFA">
              <w:rPr>
                <w:rFonts w:cs="Arial"/>
              </w:rPr>
              <w:t>minor</w:t>
            </w:r>
            <w:r w:rsidRPr="005C7CFA" w:rsidR="005C7CFA">
              <w:rPr>
                <w:rFonts w:cs="Arial"/>
              </w:rPr>
              <w:t xml:space="preserve"> changes to the document </w:t>
            </w:r>
            <w:r w:rsidRPr="005C7CFA" w:rsidR="005C7CFA">
              <w:rPr>
                <w:rFonts w:cs="Arial"/>
              </w:rPr>
              <w:t xml:space="preserve">deemed</w:t>
            </w:r>
            <w:r w:rsidRPr="005C7CFA" w:rsidR="005C7CFA">
              <w:rPr>
                <w:rFonts w:cs="Arial"/>
              </w:rPr>
              <w:t xml:space="preserve"> necessary </w:t>
            </w:r>
            <w:r w:rsidRPr="005C7CFA" w:rsidR="005C7CFA">
              <w:rPr>
                <w:rFonts w:cs="Arial"/>
              </w:rPr>
              <w:t xml:space="preserve">as a result of</w:t>
            </w:r>
            <w:r w:rsidRPr="005C7CFA" w:rsidR="005C7CFA">
              <w:rPr>
                <w:rFonts w:cs="Arial"/>
              </w:rPr>
              <w:t xml:space="preserve"> the consultation, and then to formally </w:t>
            </w:r>
            <w:r w:rsidRPr="005C7CFA" w:rsidR="005C7CFA">
              <w:rPr>
                <w:rFonts w:cs="Arial"/>
              </w:rPr>
              <w:t xml:space="preserve">submit</w:t>
            </w:r>
            <w:r w:rsidRPr="005C7CFA" w:rsidR="005C7CFA">
              <w:rPr>
                <w:rFonts w:cs="Arial"/>
              </w:rPr>
              <w:t xml:space="preserve"> the Oxford Local </w:t>
            </w:r>
            <w:r w:rsidRPr="005C7CFA" w:rsidR="005C7CFA">
              <w:rPr>
                <w:rFonts w:cs="Arial"/>
              </w:rPr>
              <w:lastRenderedPageBreak/>
              <w:t>Plan 20</w:t>
            </w:r>
            <w:r w:rsidR="54DC92C9">
              <w:rPr>
                <w:rFonts w:cs="Arial"/>
              </w:rPr>
              <w:t>40</w:t>
            </w:r>
            <w:r w:rsidRPr="005C7CFA" w:rsidR="005C7CFA">
              <w:rPr>
                <w:rFonts w:cs="Arial"/>
              </w:rPr>
              <w:t xml:space="preserve"> to the Secretary of State for examination</w:t>
            </w:r>
            <w:r w:rsidR="00170154">
              <w:rPr>
                <w:rFonts w:cs="Arial"/>
              </w:rPr>
              <w:t xml:space="preserve">. </w:t>
            </w:r>
            <w:r w:rsidR="00170154">
              <w:rPr>
                <w:rFonts w:cs="Arial"/>
                <w:shd w:val="clear" w:color="auto" w:fill="FFFFFF"/>
              </w:rPr>
              <w:t>In the event that</w:t>
            </w:r>
            <w:r w:rsidR="00170154">
              <w:rPr>
                <w:rFonts w:cs="Arial"/>
                <w:shd w:val="clear" w:color="auto" w:fill="FFFFFF"/>
              </w:rPr>
              <w:t xml:space="preserve"> significant issues are raised that suggest the Plan is not sound and major amendments are </w:t>
            </w:r>
            <w:r w:rsidR="00170154">
              <w:rPr>
                <w:rFonts w:cs="Arial"/>
                <w:shd w:val="clear" w:color="auto" w:fill="FFFFFF"/>
              </w:rPr>
              <w:t>required</w:t>
            </w:r>
            <w:r w:rsidR="00170154">
              <w:rPr>
                <w:rFonts w:cs="Arial"/>
                <w:shd w:val="clear" w:color="auto" w:fill="FFFFFF"/>
              </w:rPr>
              <w:t>, the Plan will need to be re-drafted and brought back to Council to approve another public consultation before submission. </w:t>
            </w:r>
            <w:r w:rsidR="775E065F">
              <w:rPr>
                <w:rFonts w:cs="Arial"/>
              </w:rPr>
              <w:t xml:space="preserve"> </w:t>
            </w:r>
          </w:p>
          <w:p w:rsidRPr="00205E65" w:rsidR="0030208D" w:rsidP="002069B3" w:rsidRDefault="0030208D" w14:paraId="5DAB6C7B" w14:textId="77777777">
            <w:pPr>
              <w:rPr>
                <w:b/>
              </w:rPr>
            </w:pPr>
          </w:p>
        </w:tc>
      </w:tr>
      <w:tr w:rsidRPr="00975B07" w:rsidR="0030208D" w:rsidTr="29496A36" w14:paraId="02EB378F"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6A05A809" w14:textId="77777777"/>
        </w:tc>
        <w:tc>
          <w:tcPr>
            <w:tcW w:w="8419" w:type="dxa"/>
            <w:gridSpan w:val="2"/>
            <w:tcBorders>
              <w:top w:val="nil"/>
              <w:left w:val="nil"/>
              <w:bottom w:val="nil"/>
              <w:right w:val="single" w:color="000000" w:themeColor="text1" w:sz="8" w:space="0"/>
            </w:tcBorders>
            <w:shd w:val="clear" w:color="auto" w:fill="auto"/>
            <w:tcMar/>
          </w:tcPr>
          <w:p w:rsidRPr="00205E65" w:rsidR="0030208D" w:rsidP="002069B3" w:rsidRDefault="0030208D" w14:paraId="5A39BBE3" w14:textId="77777777">
            <w:pPr>
              <w:rPr>
                <w:b/>
              </w:rPr>
            </w:pPr>
          </w:p>
        </w:tc>
      </w:tr>
      <w:tr w:rsidRPr="00975B07" w:rsidR="00232F5B" w:rsidTr="29496A36" w14:paraId="41C8F396"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72A3D3EC" w14:textId="77777777"/>
        </w:tc>
        <w:tc>
          <w:tcPr>
            <w:tcW w:w="8419" w:type="dxa"/>
            <w:gridSpan w:val="2"/>
            <w:tcBorders>
              <w:top w:val="nil"/>
              <w:left w:val="nil"/>
              <w:bottom w:val="nil"/>
              <w:right w:val="single" w:color="000000" w:themeColor="text1" w:sz="8" w:space="0"/>
            </w:tcBorders>
            <w:shd w:val="clear" w:color="auto" w:fill="auto"/>
            <w:tcMar/>
          </w:tcPr>
          <w:p w:rsidRPr="001356F1" w:rsidR="0030208D" w:rsidP="002069B3" w:rsidRDefault="0030208D" w14:paraId="0D0B940D" w14:textId="77777777"/>
        </w:tc>
      </w:tr>
      <w:tr w:rsidRPr="00975B07" w:rsidR="00232F5B" w:rsidTr="29496A36" w14:paraId="0E27B00A" w14:textId="77777777">
        <w:trPr>
          <w:trHeight w:val="283"/>
        </w:trPr>
        <w:tc>
          <w:tcPr>
            <w:tcW w:w="426" w:type="dxa"/>
            <w:tcBorders>
              <w:top w:val="nil"/>
              <w:left w:val="single" w:color="000000" w:themeColor="text1" w:sz="8" w:space="0"/>
              <w:bottom w:val="nil"/>
              <w:right w:val="nil"/>
            </w:tcBorders>
            <w:tcMar/>
          </w:tcPr>
          <w:p w:rsidRPr="00975B07" w:rsidR="0030208D" w:rsidP="004A6D2F" w:rsidRDefault="0030208D" w14:paraId="60061E4C" w14:textId="77777777"/>
        </w:tc>
        <w:tc>
          <w:tcPr>
            <w:tcW w:w="8419" w:type="dxa"/>
            <w:gridSpan w:val="2"/>
            <w:tcBorders>
              <w:top w:val="nil"/>
              <w:left w:val="nil"/>
              <w:bottom w:val="nil"/>
              <w:right w:val="single" w:color="000000" w:themeColor="text1" w:sz="8" w:space="0"/>
            </w:tcBorders>
            <w:shd w:val="clear" w:color="auto" w:fill="auto"/>
            <w:tcMar/>
          </w:tcPr>
          <w:p w:rsidRPr="001356F1" w:rsidR="0030208D" w:rsidP="002069B3" w:rsidRDefault="0030208D" w14:paraId="44EAFD9C" w14:textId="77777777"/>
        </w:tc>
      </w:tr>
      <w:tr w:rsidRPr="00975B07" w:rsidR="00232F5B" w:rsidTr="29496A36" w14:paraId="4B94D5A5" w14:textId="77777777">
        <w:trPr>
          <w:trHeight w:val="60"/>
        </w:trPr>
        <w:tc>
          <w:tcPr>
            <w:tcW w:w="426" w:type="dxa"/>
            <w:tcBorders>
              <w:top w:val="nil"/>
              <w:left w:val="single" w:color="000000" w:themeColor="text1" w:sz="8" w:space="0"/>
              <w:bottom w:val="single" w:color="000000" w:themeColor="text1" w:sz="8" w:space="0"/>
              <w:right w:val="nil"/>
            </w:tcBorders>
            <w:tcMar/>
          </w:tcPr>
          <w:p w:rsidRPr="00975B07" w:rsidR="0030208D" w:rsidP="004A6D2F" w:rsidRDefault="0030208D" w14:paraId="3DEEC669" w14:textId="77777777"/>
        </w:tc>
        <w:tc>
          <w:tcPr>
            <w:tcW w:w="8419" w:type="dxa"/>
            <w:gridSpan w:val="2"/>
            <w:tcBorders>
              <w:top w:val="nil"/>
              <w:left w:val="nil"/>
              <w:bottom w:val="single" w:color="000000" w:themeColor="text1" w:sz="8" w:space="0"/>
              <w:right w:val="single" w:color="000000" w:themeColor="text1" w:sz="8" w:space="0"/>
            </w:tcBorders>
            <w:shd w:val="clear" w:color="auto" w:fill="auto"/>
            <w:tcMar/>
          </w:tcPr>
          <w:p w:rsidRPr="001356F1" w:rsidR="0030208D" w:rsidP="00247C29" w:rsidRDefault="0030208D" w14:paraId="3656B9AB" w14:textId="77777777"/>
        </w:tc>
      </w:tr>
    </w:tbl>
    <w:p w:rsidRPr="009E51FC" w:rsidR="00CE544A" w:rsidP="004A6D2F" w:rsidRDefault="00CE544A" w14:paraId="45FB0818"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1"/>
        <w:gridCol w:w="5783"/>
      </w:tblGrid>
      <w:tr w:rsidRPr="00975B07" w:rsidR="00966D42" w:rsidTr="50D5A4BB" w14:paraId="415A6A99" w14:textId="77777777">
        <w:tc>
          <w:tcPr>
            <w:tcW w:w="8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75B07" w:rsidR="00966D42" w:rsidP="00263EA3" w:rsidRDefault="00966D42" w14:paraId="3DBF17A9" w14:textId="77777777">
            <w:pPr>
              <w:jc w:val="center"/>
            </w:pPr>
            <w:r w:rsidRPr="00745BF0">
              <w:rPr>
                <w:rStyle w:val="Firstpagetablebold"/>
              </w:rPr>
              <w:t>Appendices</w:t>
            </w:r>
          </w:p>
        </w:tc>
      </w:tr>
      <w:tr w:rsidRPr="00975B07" w:rsidR="00ED5860" w:rsidTr="50D5A4BB" w14:paraId="5FEFCBF5" w14:textId="77777777">
        <w:tc>
          <w:tcPr>
            <w:tcW w:w="2329" w:type="dxa"/>
            <w:tcBorders>
              <w:top w:val="single" w:color="000000" w:themeColor="text1" w:sz="8" w:space="0"/>
              <w:left w:val="single" w:color="000000" w:themeColor="text1" w:sz="8" w:space="0"/>
              <w:bottom w:val="nil"/>
              <w:right w:val="nil"/>
            </w:tcBorders>
            <w:shd w:val="clear" w:color="auto" w:fill="auto"/>
            <w:tcMar/>
          </w:tcPr>
          <w:p w:rsidRPr="00975B07" w:rsidR="00ED5860" w:rsidP="004A6D2F" w:rsidRDefault="00ED5860" w14:paraId="5A2DBBC6" w14:textId="77777777">
            <w:r w:rsidRPr="00975B07">
              <w:t>Appendix 1</w:t>
            </w:r>
          </w:p>
        </w:tc>
        <w:tc>
          <w:tcPr>
            <w:tcW w:w="5971" w:type="dxa"/>
            <w:tcBorders>
              <w:top w:val="single" w:color="000000" w:themeColor="text1" w:sz="8" w:space="0"/>
              <w:left w:val="nil"/>
              <w:bottom w:val="nil"/>
              <w:right w:val="single" w:color="000000" w:themeColor="text1" w:sz="8" w:space="0"/>
            </w:tcBorders>
            <w:tcMar/>
          </w:tcPr>
          <w:p w:rsidRPr="001356F1" w:rsidR="00ED5860" w:rsidP="00925353" w:rsidRDefault="005D4044" w14:paraId="5964C118" w14:textId="77777777">
            <w:r>
              <w:t xml:space="preserve">Proposed Submission </w:t>
            </w:r>
            <w:r w:rsidR="000D62EE">
              <w:t xml:space="preserve">Draft </w:t>
            </w:r>
            <w:r w:rsidR="005C7CFA">
              <w:t>Local Plan 20</w:t>
            </w:r>
            <w:r w:rsidR="00925353">
              <w:t>40</w:t>
            </w:r>
            <w:r w:rsidR="005C7CFA">
              <w:t xml:space="preserve"> </w:t>
            </w:r>
          </w:p>
        </w:tc>
      </w:tr>
      <w:tr w:rsidRPr="00975B07" w:rsidR="0030208D" w:rsidTr="50D5A4BB" w14:paraId="2B1A70C2" w14:textId="77777777">
        <w:tc>
          <w:tcPr>
            <w:tcW w:w="2329" w:type="dxa"/>
            <w:tcBorders>
              <w:top w:val="nil"/>
              <w:left w:val="single" w:color="000000" w:themeColor="text1" w:sz="8" w:space="0"/>
              <w:bottom w:val="nil"/>
              <w:right w:val="nil"/>
            </w:tcBorders>
            <w:shd w:val="clear" w:color="auto" w:fill="auto"/>
            <w:tcMar/>
          </w:tcPr>
          <w:p w:rsidRPr="00975B07" w:rsidR="0030208D" w:rsidP="00B11BDB" w:rsidRDefault="0030208D" w14:paraId="03737B86" w14:textId="77777777">
            <w:r w:rsidRPr="00975B07">
              <w:t xml:space="preserve">Appendix </w:t>
            </w:r>
            <w:r w:rsidR="00B11BDB">
              <w:t>2</w:t>
            </w:r>
          </w:p>
        </w:tc>
        <w:tc>
          <w:tcPr>
            <w:tcW w:w="5971" w:type="dxa"/>
            <w:tcBorders>
              <w:top w:val="nil"/>
              <w:left w:val="nil"/>
              <w:bottom w:val="nil"/>
              <w:right w:val="single" w:color="000000" w:themeColor="text1" w:sz="8" w:space="0"/>
            </w:tcBorders>
            <w:tcMar/>
          </w:tcPr>
          <w:p w:rsidRPr="001356F1" w:rsidR="0030208D" w:rsidP="00CE14B9" w:rsidRDefault="00170154" w14:paraId="10C12DB0" w14:textId="5AB5B707">
            <w:r>
              <w:t>Sustainability Appraisal</w:t>
            </w:r>
          </w:p>
        </w:tc>
      </w:tr>
      <w:tr w:rsidRPr="00975B07" w:rsidR="00AD2B39" w:rsidTr="50D5A4BB" w14:paraId="6EB4915D" w14:textId="77777777">
        <w:tc>
          <w:tcPr>
            <w:tcW w:w="2329" w:type="dxa"/>
            <w:tcBorders>
              <w:top w:val="nil"/>
              <w:left w:val="single" w:color="000000" w:themeColor="text1" w:sz="8" w:space="0"/>
              <w:bottom w:val="nil"/>
              <w:right w:val="nil"/>
            </w:tcBorders>
            <w:shd w:val="clear" w:color="auto" w:fill="auto"/>
            <w:tcMar/>
          </w:tcPr>
          <w:p w:rsidRPr="00975B07" w:rsidR="00AD2B39" w:rsidP="00B11BDB" w:rsidRDefault="00170154" w14:paraId="4CC381FF" w14:textId="119881C0">
            <w:r>
              <w:t>Appendix 3</w:t>
            </w:r>
          </w:p>
        </w:tc>
        <w:tc>
          <w:tcPr>
            <w:tcW w:w="5971" w:type="dxa"/>
            <w:tcBorders>
              <w:top w:val="nil"/>
              <w:left w:val="nil"/>
              <w:bottom w:val="nil"/>
              <w:right w:val="single" w:color="000000" w:themeColor="text1" w:sz="8" w:space="0"/>
            </w:tcBorders>
            <w:tcMar/>
          </w:tcPr>
          <w:p w:rsidR="00AD2B39" w:rsidP="00CE14B9" w:rsidRDefault="00170154" w14:paraId="035F00F6" w14:textId="603E76EF">
            <w:r w:rsidR="00170154">
              <w:rPr/>
              <w:t>Habitat Regulation</w:t>
            </w:r>
            <w:r w:rsidR="02C1A649">
              <w:rPr/>
              <w:t>s</w:t>
            </w:r>
            <w:r w:rsidR="00170154">
              <w:rPr/>
              <w:t xml:space="preserve"> Assessment</w:t>
            </w:r>
          </w:p>
        </w:tc>
      </w:tr>
      <w:tr w:rsidRPr="00975B07" w:rsidR="00AD2B39" w:rsidTr="50D5A4BB" w14:paraId="3DCCD186" w14:textId="77777777">
        <w:tc>
          <w:tcPr>
            <w:tcW w:w="2329" w:type="dxa"/>
            <w:tcBorders>
              <w:top w:val="nil"/>
              <w:left w:val="single" w:color="000000" w:themeColor="text1" w:sz="8" w:space="0"/>
              <w:bottom w:val="nil"/>
              <w:right w:val="nil"/>
            </w:tcBorders>
            <w:shd w:val="clear" w:color="auto" w:fill="auto"/>
            <w:tcMar/>
          </w:tcPr>
          <w:p w:rsidRPr="00975B07" w:rsidR="00AD2B39" w:rsidP="00B11BDB" w:rsidRDefault="00170154" w14:paraId="29FDE11C" w14:textId="60DFB08E">
            <w:r>
              <w:t>Appendix 4</w:t>
            </w:r>
          </w:p>
        </w:tc>
        <w:tc>
          <w:tcPr>
            <w:tcW w:w="5971" w:type="dxa"/>
            <w:tcBorders>
              <w:top w:val="nil"/>
              <w:left w:val="nil"/>
              <w:bottom w:val="nil"/>
              <w:right w:val="single" w:color="000000" w:themeColor="text1" w:sz="8" w:space="0"/>
            </w:tcBorders>
            <w:tcMar/>
          </w:tcPr>
          <w:p w:rsidR="00AD2B39" w:rsidP="00CE14B9" w:rsidRDefault="00170154" w14:paraId="0BB1C485" w14:textId="0547C378">
            <w:r>
              <w:t>Infrastructure Development Plan</w:t>
            </w:r>
          </w:p>
        </w:tc>
      </w:tr>
      <w:tr w:rsidRPr="00975B07" w:rsidR="00170154" w:rsidTr="50D5A4BB" w14:paraId="51329338" w14:textId="77777777">
        <w:tc>
          <w:tcPr>
            <w:tcW w:w="2329" w:type="dxa"/>
            <w:tcBorders>
              <w:top w:val="nil"/>
              <w:left w:val="single" w:color="000000" w:themeColor="text1" w:sz="8" w:space="0"/>
              <w:bottom w:val="nil"/>
              <w:right w:val="nil"/>
            </w:tcBorders>
            <w:shd w:val="clear" w:color="auto" w:fill="auto"/>
            <w:tcMar/>
          </w:tcPr>
          <w:p w:rsidR="00170154" w:rsidP="00B11BDB" w:rsidRDefault="00170154" w14:paraId="3E2AB5CD" w14:textId="572C6193">
            <w:r>
              <w:t>Appendix 5</w:t>
            </w:r>
          </w:p>
        </w:tc>
        <w:tc>
          <w:tcPr>
            <w:tcW w:w="5971" w:type="dxa"/>
            <w:tcBorders>
              <w:top w:val="nil"/>
              <w:left w:val="nil"/>
              <w:bottom w:val="nil"/>
              <w:right w:val="single" w:color="000000" w:themeColor="text1" w:sz="8" w:space="0"/>
            </w:tcBorders>
            <w:tcMar/>
          </w:tcPr>
          <w:p w:rsidR="00170154" w:rsidP="50D5A4BB" w:rsidRDefault="00170154" w14:paraId="078D423B" w14:textId="02C134DE">
            <w:pPr>
              <w:pStyle w:val="Normal"/>
              <w:bidi w:val="0"/>
              <w:spacing w:before="0" w:beforeAutospacing="off" w:after="120" w:afterAutospacing="off" w:line="259" w:lineRule="auto"/>
              <w:ind w:left="0" w:right="0"/>
              <w:jc w:val="left"/>
            </w:pPr>
            <w:r w:rsidR="01552F83">
              <w:rPr/>
              <w:t>Policies Map</w:t>
            </w:r>
          </w:p>
        </w:tc>
      </w:tr>
      <w:tr w:rsidR="50D5A4BB" w:rsidTr="50D5A4BB" w14:paraId="5C1EB728">
        <w:trPr>
          <w:trHeight w:val="300"/>
        </w:trPr>
        <w:tc>
          <w:tcPr>
            <w:tcW w:w="2281" w:type="dxa"/>
            <w:tcBorders>
              <w:top w:val="nil"/>
              <w:left w:val="single" w:color="000000" w:themeColor="text1" w:sz="8" w:space="0"/>
              <w:bottom w:val="nil"/>
              <w:right w:val="nil"/>
            </w:tcBorders>
            <w:shd w:val="clear" w:color="auto" w:fill="auto"/>
            <w:tcMar/>
          </w:tcPr>
          <w:p w:rsidR="55F0D69A" w:rsidP="50D5A4BB" w:rsidRDefault="55F0D69A" w14:paraId="7B8096FE" w14:textId="760BA361">
            <w:pPr>
              <w:pStyle w:val="Normal"/>
            </w:pPr>
            <w:r w:rsidR="55F0D69A">
              <w:rPr/>
              <w:t>Appendix 6</w:t>
            </w:r>
          </w:p>
        </w:tc>
        <w:tc>
          <w:tcPr>
            <w:tcW w:w="5783" w:type="dxa"/>
            <w:tcBorders>
              <w:top w:val="nil"/>
              <w:left w:val="nil"/>
              <w:bottom w:val="nil"/>
              <w:right w:val="single" w:color="000000" w:themeColor="text1" w:sz="8" w:space="0"/>
            </w:tcBorders>
            <w:tcMar/>
          </w:tcPr>
          <w:p w:rsidR="4C53F884" w:rsidP="50D5A4BB" w:rsidRDefault="4C53F884" w14:paraId="2083C4EF" w14:textId="629715F8">
            <w:pPr>
              <w:pStyle w:val="Normal"/>
              <w:bidi w:val="0"/>
              <w:spacing w:before="0" w:beforeAutospacing="off" w:after="120" w:afterAutospacing="off" w:line="259" w:lineRule="auto"/>
              <w:ind w:left="0" w:right="0"/>
              <w:jc w:val="left"/>
            </w:pPr>
            <w:r w:rsidR="4C53F884">
              <w:rPr/>
              <w:t>Risk Assessment</w:t>
            </w:r>
          </w:p>
        </w:tc>
      </w:tr>
      <w:tr w:rsidRPr="00975B07" w:rsidR="0030208D" w:rsidTr="50D5A4BB" w14:paraId="7AC94341" w14:textId="77777777">
        <w:tc>
          <w:tcPr>
            <w:tcW w:w="2329" w:type="dxa"/>
            <w:tcBorders>
              <w:top w:val="nil"/>
              <w:left w:val="single" w:color="000000" w:themeColor="text1" w:sz="8" w:space="0"/>
              <w:bottom w:val="nil"/>
              <w:right w:val="nil"/>
            </w:tcBorders>
            <w:shd w:val="clear" w:color="auto" w:fill="auto"/>
            <w:tcMar/>
          </w:tcPr>
          <w:p w:rsidRPr="00975B07" w:rsidR="0030208D" w:rsidP="00B11BDB" w:rsidRDefault="0030208D" w14:paraId="1CFBA8D1" w14:textId="123B6161">
            <w:r w:rsidR="4F1FA1D4">
              <w:rPr/>
              <w:t xml:space="preserve">Appendix </w:t>
            </w:r>
            <w:r w:rsidR="7B392ED6">
              <w:rPr/>
              <w:t>7</w:t>
            </w:r>
          </w:p>
        </w:tc>
        <w:tc>
          <w:tcPr>
            <w:tcW w:w="5971" w:type="dxa"/>
            <w:tcBorders>
              <w:top w:val="nil"/>
              <w:left w:val="nil"/>
              <w:bottom w:val="nil"/>
              <w:right w:val="single" w:color="000000" w:themeColor="text1" w:sz="8" w:space="0"/>
            </w:tcBorders>
            <w:tcMar/>
          </w:tcPr>
          <w:p w:rsidR="495B66B2" w:rsidP="50D5A4BB" w:rsidRDefault="495B66B2" w14:paraId="28EB570D" w14:textId="4CF787EF">
            <w:pPr>
              <w:pStyle w:val="Normal"/>
              <w:bidi w:val="0"/>
              <w:spacing w:before="0" w:beforeAutospacing="off" w:after="120" w:afterAutospacing="off" w:line="259" w:lineRule="auto"/>
              <w:ind w:left="0" w:right="0"/>
              <w:jc w:val="left"/>
            </w:pPr>
            <w:r w:rsidR="495B66B2">
              <w:rPr/>
              <w:t>Equalities Impact Assessment</w:t>
            </w:r>
          </w:p>
          <w:p w:rsidRPr="001356F1" w:rsidR="00261974" w:rsidP="003561B2" w:rsidRDefault="00261974" w14:paraId="0E1BF550" w14:textId="14D378F9"/>
        </w:tc>
      </w:tr>
      <w:tr w:rsidRPr="00975B07" w:rsidR="00AD2B39" w:rsidTr="50D5A4BB" w14:paraId="6971E0CD" w14:textId="77777777">
        <w:tc>
          <w:tcPr>
            <w:tcW w:w="2329" w:type="dxa"/>
            <w:tcBorders>
              <w:top w:val="nil"/>
              <w:left w:val="single" w:color="000000" w:themeColor="text1" w:sz="8" w:space="0"/>
              <w:bottom w:val="single" w:color="000000" w:themeColor="text1" w:sz="8" w:space="0"/>
              <w:right w:val="nil"/>
            </w:tcBorders>
            <w:shd w:val="clear" w:color="auto" w:fill="auto"/>
            <w:tcMar/>
          </w:tcPr>
          <w:p w:rsidRPr="00975B07" w:rsidR="00AD2B39" w:rsidP="00B11BDB" w:rsidRDefault="00AD2B39" w14:paraId="38A0E40A" w14:textId="77777777"/>
        </w:tc>
        <w:tc>
          <w:tcPr>
            <w:tcW w:w="5971" w:type="dxa"/>
            <w:tcBorders>
              <w:top w:val="nil"/>
              <w:left w:val="nil"/>
              <w:bottom w:val="single" w:color="000000" w:themeColor="text1" w:sz="8" w:space="0"/>
              <w:right w:val="single" w:color="000000" w:themeColor="text1" w:sz="8" w:space="0"/>
            </w:tcBorders>
            <w:tcMar/>
          </w:tcPr>
          <w:p w:rsidR="00AD2B39" w:rsidP="003561B2" w:rsidRDefault="00AD2B39" w14:paraId="0F5921C9" w14:textId="77777777"/>
        </w:tc>
      </w:tr>
    </w:tbl>
    <w:p w:rsidRPr="001356F1" w:rsidR="0040736F" w:rsidP="004A6D2F" w:rsidRDefault="00F66DCA" w14:paraId="1D425973" w14:textId="77777777">
      <w:pPr>
        <w:pStyle w:val="Heading1"/>
      </w:pPr>
      <w:r w:rsidRPr="001356F1">
        <w:t>Introduction and b</w:t>
      </w:r>
      <w:r w:rsidRPr="001356F1" w:rsidR="00151888">
        <w:t>ackground</w:t>
      </w:r>
      <w:r w:rsidRPr="001356F1" w:rsidR="00404032">
        <w:t xml:space="preserve"> </w:t>
      </w:r>
    </w:p>
    <w:p w:rsidR="005614C5" w:rsidP="00A563EC" w:rsidRDefault="00524B3D" w14:paraId="0A883B3B" w14:textId="6C8C9C37">
      <w:pPr>
        <w:pStyle w:val="ListParagraph"/>
        <w:rPr/>
      </w:pPr>
      <w:r w:rsidR="00524B3D">
        <w:rPr/>
        <w:t xml:space="preserve"> </w:t>
      </w:r>
      <w:r w:rsidR="00205E65">
        <w:rPr/>
        <w:t>The purpose of this re</w:t>
      </w:r>
      <w:r w:rsidR="005C7CFA">
        <w:rPr/>
        <w:t xml:space="preserve">port is to seek approval for the </w:t>
      </w:r>
      <w:r w:rsidR="005D4044">
        <w:rPr/>
        <w:t xml:space="preserve">Proposed </w:t>
      </w:r>
      <w:r w:rsidR="005C7CFA">
        <w:rPr/>
        <w:t>Submission Draft</w:t>
      </w:r>
      <w:r w:rsidR="00205E65">
        <w:rPr/>
        <w:t xml:space="preserve"> Oxford Loc</w:t>
      </w:r>
      <w:r w:rsidR="00802E5A">
        <w:rPr/>
        <w:t>al Plan 20</w:t>
      </w:r>
      <w:r w:rsidR="00D94419">
        <w:rPr/>
        <w:t>40</w:t>
      </w:r>
      <w:r w:rsidR="00802E5A">
        <w:rPr/>
        <w:t xml:space="preserve"> (Appendix 1) </w:t>
      </w:r>
      <w:r w:rsidR="00826FBD">
        <w:rPr/>
        <w:t>for consultation.</w:t>
      </w:r>
      <w:r w:rsidR="004C7AE1">
        <w:rPr/>
        <w:t xml:space="preserve"> </w:t>
      </w:r>
      <w:r w:rsidR="005614C5">
        <w:rPr/>
        <w:t xml:space="preserve">The </w:t>
      </w:r>
      <w:r w:rsidR="005D4044">
        <w:rPr/>
        <w:t xml:space="preserve">Proposed Submission </w:t>
      </w:r>
      <w:r w:rsidR="005C7CFA">
        <w:rPr/>
        <w:t xml:space="preserve">Draft </w:t>
      </w:r>
      <w:r w:rsidR="005614C5">
        <w:rPr/>
        <w:t>Oxford Local Plan 20</w:t>
      </w:r>
      <w:r w:rsidR="00BF2679">
        <w:rPr/>
        <w:t>40</w:t>
      </w:r>
      <w:r w:rsidR="005614C5">
        <w:rPr/>
        <w:t xml:space="preserve"> has been prepared for the </w:t>
      </w:r>
      <w:r w:rsidR="005C7CFA">
        <w:rPr/>
        <w:t>final</w:t>
      </w:r>
      <w:r w:rsidR="005614C5">
        <w:rPr/>
        <w:t xml:space="preserve"> consultation</w:t>
      </w:r>
      <w:r w:rsidR="00826FBD">
        <w:rPr/>
        <w:t xml:space="preserve"> </w:t>
      </w:r>
      <w:r w:rsidR="005614C5">
        <w:rPr/>
        <w:t xml:space="preserve">stage </w:t>
      </w:r>
      <w:r w:rsidR="00826FBD">
        <w:rPr/>
        <w:t xml:space="preserve">that will take place </w:t>
      </w:r>
      <w:r w:rsidR="005614C5">
        <w:rPr/>
        <w:t xml:space="preserve">before the Plan is </w:t>
      </w:r>
      <w:r w:rsidR="005614C5">
        <w:rPr/>
        <w:t>submitted</w:t>
      </w:r>
      <w:r w:rsidR="005614C5">
        <w:rPr/>
        <w:t xml:space="preserve"> to t</w:t>
      </w:r>
      <w:r w:rsidR="001E10E3">
        <w:rPr/>
        <w:t xml:space="preserve">he Secretary of State for </w:t>
      </w:r>
      <w:r w:rsidR="00DA7818">
        <w:rPr/>
        <w:t>e</w:t>
      </w:r>
      <w:r w:rsidR="005614C5">
        <w:rPr/>
        <w:t>xamination. From</w:t>
      </w:r>
      <w:r w:rsidR="00A630F9">
        <w:rPr/>
        <w:t xml:space="preserve"> 10</w:t>
      </w:r>
      <w:r w:rsidRPr="5FEB26CB" w:rsidR="00A630F9">
        <w:rPr>
          <w:vertAlign w:val="superscript"/>
        </w:rPr>
        <w:t>th</w:t>
      </w:r>
      <w:r w:rsidR="00A630F9">
        <w:rPr/>
        <w:t xml:space="preserve"> November 2023 to </w:t>
      </w:r>
      <w:r w:rsidR="00A630F9">
        <w:rPr/>
        <w:t>3</w:t>
      </w:r>
      <w:r w:rsidRPr="5FEB26CB" w:rsidR="00A630F9">
        <w:rPr>
          <w:vertAlign w:val="superscript"/>
        </w:rPr>
        <w:t>rd</w:t>
      </w:r>
      <w:r w:rsidR="00A630F9">
        <w:rPr/>
        <w:t xml:space="preserve"> January </w:t>
      </w:r>
      <w:r w:rsidR="00A630F9">
        <w:rPr/>
        <w:t xml:space="preserve">2024, it </w:t>
      </w:r>
      <w:r w:rsidR="003367F1">
        <w:rPr/>
        <w:t>is intended that a</w:t>
      </w:r>
      <w:r w:rsidR="005614C5">
        <w:rPr/>
        <w:t xml:space="preserve"> </w:t>
      </w:r>
      <w:r w:rsidR="004E3151">
        <w:rPr/>
        <w:t xml:space="preserve">public </w:t>
      </w:r>
      <w:r w:rsidR="003367F1">
        <w:rPr/>
        <w:t>consultation will be undertaken that</w:t>
      </w:r>
      <w:r w:rsidR="005614C5">
        <w:rPr/>
        <w:t xml:space="preserve"> will meet the requirements set out in Regulation </w:t>
      </w:r>
      <w:r w:rsidR="003367F1">
        <w:rPr/>
        <w:t>19</w:t>
      </w:r>
      <w:r w:rsidR="00A563EC">
        <w:rPr/>
        <w:t xml:space="preserve"> of the Town and Country Planning (Local Planning) (England) Regulations 2012</w:t>
      </w:r>
      <w:r w:rsidR="005614C5">
        <w:rPr/>
        <w:t xml:space="preserve">. </w:t>
      </w:r>
      <w:r w:rsidR="00170154">
        <w:rPr/>
        <w:t xml:space="preserve">The Plan is supported by the Sustainability Appraisal (Appendix 2), the </w:t>
      </w:r>
      <w:r w:rsidR="00170154">
        <w:rPr/>
        <w:t>Habitat</w:t>
      </w:r>
      <w:r w:rsidR="00170154">
        <w:rPr/>
        <w:t xml:space="preserve"> Regulations Assessment (Appendix 3) and the Infrastructure Development Plan (Appendix 4)</w:t>
      </w:r>
      <w:r w:rsidR="4E7C63E2">
        <w:rPr/>
        <w:t xml:space="preserve"> and the Policies Map (Appendix </w:t>
      </w:r>
      <w:r w:rsidR="5C7227CB">
        <w:rPr/>
        <w:t>5</w:t>
      </w:r>
      <w:r w:rsidR="4E7C63E2">
        <w:rPr/>
        <w:t>)</w:t>
      </w:r>
    </w:p>
    <w:p w:rsidR="003158FD" w:rsidP="00A563EC" w:rsidRDefault="00524B3D" w14:paraId="617CB339" w14:textId="3596CC4A">
      <w:pPr>
        <w:pStyle w:val="ListParagraph"/>
        <w:rPr/>
      </w:pPr>
      <w:r w:rsidR="00524B3D">
        <w:rPr/>
        <w:t xml:space="preserve"> </w:t>
      </w:r>
      <w:r w:rsidR="00123442">
        <w:rPr/>
        <w:t xml:space="preserve">The Issues and Options Consultation took place in June / July 2021. This represented </w:t>
      </w:r>
      <w:r w:rsidR="003158FD">
        <w:rPr/>
        <w:t>the first stage of the plan-making process</w:t>
      </w:r>
      <w:r w:rsidR="00123442">
        <w:rPr/>
        <w:t>, when</w:t>
      </w:r>
      <w:r w:rsidR="003158FD">
        <w:rPr/>
        <w:t xml:space="preserve"> several specific issues were identified </w:t>
      </w:r>
      <w:r w:rsidR="102B6987">
        <w:rPr/>
        <w:t xml:space="preserve">that </w:t>
      </w:r>
      <w:r w:rsidR="003158FD">
        <w:rPr/>
        <w:t xml:space="preserve">the Local Plan needed to address, together with a proposed vision and a set of objectives for the Plan. These were collated to form </w:t>
      </w:r>
      <w:r w:rsidR="003F3A7B">
        <w:rPr/>
        <w:t>an</w:t>
      </w:r>
      <w:r w:rsidR="003158FD">
        <w:rPr/>
        <w:t xml:space="preserve"> </w:t>
      </w:r>
      <w:hyperlink r:id="Refaf754c640142a8">
        <w:r w:rsidRPr="5FEB26CB" w:rsidR="003F3A7B">
          <w:rPr>
            <w:rStyle w:val="Hyperlink"/>
          </w:rPr>
          <w:t>Issues Paper</w:t>
        </w:r>
      </w:hyperlink>
      <w:r w:rsidR="003F3A7B">
        <w:rPr/>
        <w:t xml:space="preserve"> </w:t>
      </w:r>
      <w:r w:rsidR="003158FD">
        <w:rPr/>
        <w:t xml:space="preserve">which was then put out for public consultation. </w:t>
      </w:r>
      <w:r w:rsidR="003F3A7B">
        <w:rPr/>
        <w:t>Responses were received from individuals, local communities, businesses and other organisations.  A </w:t>
      </w:r>
      <w:hyperlink r:id="R3b35848cf33f494a">
        <w:r w:rsidRPr="5FEB26CB" w:rsidR="003F3A7B">
          <w:rPr>
            <w:rStyle w:val="Hyperlink"/>
          </w:rPr>
          <w:t>consultation report</w:t>
        </w:r>
      </w:hyperlink>
      <w:r w:rsidR="003F3A7B">
        <w:rPr/>
        <w:t> has been prepared that summarises the responses and findings</w:t>
      </w:r>
      <w:r w:rsidR="00A57A66">
        <w:rPr/>
        <w:t>.</w:t>
      </w:r>
    </w:p>
    <w:p w:rsidR="003F3A7B" w:rsidP="50D5A4BB" w:rsidRDefault="007806B2" w14:paraId="490AEFF0" w14:textId="286E0613">
      <w:pPr>
        <w:pStyle w:val="ListParagraph"/>
        <w:rPr>
          <w:color w:val="000000" w:themeColor="text1"/>
          <w:sz w:val="24"/>
          <w:szCs w:val="24"/>
        </w:rPr>
      </w:pPr>
      <w:r w:rsidR="003F3A7B">
        <w:rPr/>
        <w:t xml:space="preserve"> Following careful consideration of th</w:t>
      </w:r>
      <w:r w:rsidR="00A57A66">
        <w:rPr/>
        <w:t>e</w:t>
      </w:r>
      <w:r w:rsidR="003F3A7B">
        <w:rPr/>
        <w:t xml:space="preserve"> feedback from the public consultation, and a growing evidence base, </w:t>
      </w:r>
      <w:r w:rsidR="003F3A7B">
        <w:rPr/>
        <w:t>a number of</w:t>
      </w:r>
      <w:r w:rsidR="003F3A7B">
        <w:rPr/>
        <w:t xml:space="preserve"> proposed policy approaches </w:t>
      </w:r>
      <w:r w:rsidR="00CB5808">
        <w:rPr/>
        <w:t>were</w:t>
      </w:r>
      <w:r w:rsidR="003F3A7B">
        <w:rPr/>
        <w:t xml:space="preserve"> developed. These approaches were presented as a range of options </w:t>
      </w:r>
      <w:r w:rsidR="00D21C8F">
        <w:rPr/>
        <w:t>in</w:t>
      </w:r>
      <w:r w:rsidR="003F3A7B">
        <w:rPr/>
        <w:t xml:space="preserve"> the Preferred Options document</w:t>
      </w:r>
      <w:r w:rsidR="007806B2">
        <w:rPr/>
        <w:t>. This</w:t>
      </w:r>
      <w:r w:rsidR="003F3A7B">
        <w:rPr/>
        <w:t xml:space="preserve"> </w:t>
      </w:r>
      <w:r w:rsidR="003F3A7B">
        <w:rPr/>
        <w:t>contained</w:t>
      </w:r>
      <w:r w:rsidR="003F3A7B">
        <w:rPr/>
        <w:t xml:space="preserve"> a series of proposed policy approaches or options that cover</w:t>
      </w:r>
      <w:r w:rsidR="0099395D">
        <w:rPr/>
        <w:t>ed</w:t>
      </w:r>
      <w:r w:rsidR="003F3A7B">
        <w:rPr/>
        <w:t xml:space="preserve"> a range of topics including housing, economy, communities, and design and heritage. It include</w:t>
      </w:r>
      <w:r w:rsidR="0099395D">
        <w:rPr/>
        <w:t>d</w:t>
      </w:r>
      <w:r w:rsidR="003F3A7B">
        <w:rPr/>
        <w:t xml:space="preserve"> a development sites and infrastructure chapter, which set out proposed sites that</w:t>
      </w:r>
      <w:r w:rsidR="084CC126">
        <w:rPr/>
        <w:t xml:space="preserve"> it was considered would </w:t>
      </w:r>
      <w:r w:rsidR="084CC126">
        <w:rPr/>
        <w:t>benefit</w:t>
      </w:r>
      <w:r w:rsidR="084CC126">
        <w:rPr/>
        <w:t xml:space="preserve"> from having a </w:t>
      </w:r>
      <w:r w:rsidR="5EEBC8CC">
        <w:rPr/>
        <w:t xml:space="preserve">specific </w:t>
      </w:r>
      <w:r w:rsidR="084CC126">
        <w:rPr/>
        <w:t>site</w:t>
      </w:r>
      <w:r w:rsidR="17532CE4">
        <w:rPr/>
        <w:t xml:space="preserve"> allocation </w:t>
      </w:r>
      <w:r w:rsidR="17532CE4">
        <w:rPr/>
        <w:t>pol</w:t>
      </w:r>
      <w:r w:rsidR="17532CE4">
        <w:rPr/>
        <w:t>icy</w:t>
      </w:r>
      <w:r w:rsidR="17532CE4">
        <w:rPr/>
        <w:t xml:space="preserve">.  </w:t>
      </w:r>
      <w:r w:rsidR="003F3A7B">
        <w:rPr/>
        <w:t xml:space="preserve"> </w:t>
      </w:r>
    </w:p>
    <w:p w:rsidR="003F3A7B" w:rsidP="50D5A4BB" w:rsidRDefault="007806B2" w14:paraId="4F137863" w14:textId="68FD9819">
      <w:pPr>
        <w:pStyle w:val="ListParagraph"/>
        <w:rPr>
          <w:color w:val="000000" w:themeColor="text1"/>
          <w:sz w:val="24"/>
          <w:szCs w:val="24"/>
        </w:rPr>
      </w:pPr>
      <w:r w:rsidR="007806B2">
        <w:rPr/>
        <w:t xml:space="preserve"> The Preferred Options document went out for public consultation (Regulation 18 Part 1 Consultation) for a six</w:t>
      </w:r>
      <w:r w:rsidR="00E02D65">
        <w:rPr/>
        <w:t>-</w:t>
      </w:r>
      <w:r w:rsidR="007806B2">
        <w:rPr/>
        <w:t>week period between Monday 3</w:t>
      </w:r>
      <w:r w:rsidRPr="5FEB26CB" w:rsidR="007806B2">
        <w:rPr>
          <w:vertAlign w:val="superscript"/>
        </w:rPr>
        <w:t>rd</w:t>
      </w:r>
      <w:r w:rsidR="007806B2">
        <w:rPr/>
        <w:t xml:space="preserve"> October 2022 and Monday 14</w:t>
      </w:r>
      <w:r w:rsidRPr="5FEB26CB" w:rsidR="007806B2">
        <w:rPr>
          <w:vertAlign w:val="superscript"/>
        </w:rPr>
        <w:t>th</w:t>
      </w:r>
      <w:r w:rsidR="007806B2">
        <w:rPr/>
        <w:t xml:space="preserve"> November 2022. A summary report of the comments received is set out in this link </w:t>
      </w:r>
      <w:hyperlink r:id="Rabaf61bd6b5e4546">
        <w:r w:rsidRPr="5FEB26CB" w:rsidR="007806B2">
          <w:rPr>
            <w:rStyle w:val="Hyperlink"/>
          </w:rPr>
          <w:t>https://www.oxford.gov.uk/downloads/file/8454/preferred_options_regulation_18_part_1_consultation_report</w:t>
        </w:r>
      </w:hyperlink>
      <w:r w:rsidR="00F90F59">
        <w:rPr/>
        <w:t xml:space="preserve">. A Housing Need Consultation (Regulation 18 Part 2) was also undertaken which ran for a supplementary </w:t>
      </w:r>
      <w:r w:rsidR="00F90F59">
        <w:rPr/>
        <w:t>6 week</w:t>
      </w:r>
      <w:r w:rsidR="00F90F59">
        <w:rPr/>
        <w:t xml:space="preserve"> consultation period from Monday 13</w:t>
      </w:r>
      <w:r w:rsidRPr="5FEB26CB" w:rsidR="00F90F59">
        <w:rPr>
          <w:vertAlign w:val="superscript"/>
        </w:rPr>
        <w:t>th</w:t>
      </w:r>
      <w:r w:rsidR="00F90F59">
        <w:rPr/>
        <w:t xml:space="preserve"> February 2023 to Monday 27</w:t>
      </w:r>
      <w:r w:rsidRPr="5FEB26CB" w:rsidR="00F90F59">
        <w:rPr>
          <w:vertAlign w:val="superscript"/>
        </w:rPr>
        <w:t>th</w:t>
      </w:r>
      <w:r w:rsidR="00F90F59">
        <w:rPr/>
        <w:t xml:space="preserve"> March 2023. A summary </w:t>
      </w:r>
      <w:r w:rsidR="00F90F59">
        <w:rPr/>
        <w:t>report</w:t>
      </w:r>
      <w:r w:rsidR="432223AA">
        <w:rPr/>
        <w:t>::</w:t>
      </w:r>
      <w:r w:rsidR="432223AA">
        <w:rPr/>
        <w:t xml:space="preserve"> </w:t>
      </w:r>
      <w:hyperlink r:id="R5c5224f2f61c4ab2">
        <w:r w:rsidRPr="5FEB26CB" w:rsidR="432223AA">
          <w:rPr>
            <w:rStyle w:val="Hyperlink"/>
          </w:rPr>
          <w:t>https://www.oxford.gov.uk/downloads/file/8563/preferred_options_regulation_18_part_2_consultation_report</w:t>
        </w:r>
      </w:hyperlink>
      <w:r w:rsidR="00F90F59">
        <w:rPr/>
        <w:t xml:space="preserve"> has been published.</w:t>
      </w:r>
    </w:p>
    <w:p w:rsidR="00123442" w:rsidP="00A563EC" w:rsidRDefault="00F90F59" w14:paraId="39F9E832" w14:textId="0A56E468">
      <w:pPr>
        <w:pStyle w:val="ListParagraph"/>
        <w:rPr/>
      </w:pPr>
      <w:r w:rsidR="00F90F59">
        <w:rPr/>
        <w:t xml:space="preserve"> </w:t>
      </w:r>
      <w:r w:rsidR="00EB7DF4">
        <w:rPr/>
        <w:t xml:space="preserve">The purpose of these </w:t>
      </w:r>
      <w:r w:rsidR="3BD771B4">
        <w:rPr/>
        <w:t xml:space="preserve">previous stages of </w:t>
      </w:r>
      <w:r w:rsidR="00EB7DF4">
        <w:rPr/>
        <w:t>consultation was firstly to understand the issues identified</w:t>
      </w:r>
      <w:r w:rsidR="00572539">
        <w:rPr/>
        <w:t xml:space="preserve"> by the public which</w:t>
      </w:r>
      <w:r w:rsidR="00EB7DF4">
        <w:rPr/>
        <w:t xml:space="preserve"> they thought the Plan should cover and then in 20</w:t>
      </w:r>
      <w:r w:rsidR="00F90F59">
        <w:rPr/>
        <w:t>22</w:t>
      </w:r>
      <w:r w:rsidR="00EB7DF4">
        <w:rPr/>
        <w:t xml:space="preserve"> to get views on a range of options for policies, called ‘preferred options’</w:t>
      </w:r>
      <w:r w:rsidR="00F90F59">
        <w:rPr/>
        <w:t xml:space="preserve"> and</w:t>
      </w:r>
      <w:r w:rsidR="018DC6D3">
        <w:rPr/>
        <w:t xml:space="preserve"> in part 2 to consult on the housing need assessment</w:t>
      </w:r>
      <w:r w:rsidR="00F90F59">
        <w:rPr/>
        <w:t>.</w:t>
      </w:r>
      <w:r w:rsidR="00EB7DF4">
        <w:rPr/>
        <w:t xml:space="preserve"> These </w:t>
      </w:r>
      <w:r w:rsidR="00A85B62">
        <w:rPr/>
        <w:t xml:space="preserve">consultations informed the development of the draft policies in the Proposed Submission Draft. </w:t>
      </w:r>
    </w:p>
    <w:p w:rsidR="00EB7DF4" w:rsidP="0EFAA4EA" w:rsidRDefault="00123442" w14:paraId="64F36FB2" w14:textId="3A233BE1">
      <w:pPr>
        <w:pStyle w:val="ListParagraph"/>
        <w:spacing w:line="259" w:lineRule="auto"/>
        <w:rPr>
          <w:color w:val="000000" w:themeColor="text1"/>
        </w:rPr>
      </w:pPr>
      <w:r w:rsidR="00123442">
        <w:rPr/>
        <w:t xml:space="preserve"> </w:t>
      </w:r>
      <w:r w:rsidR="00A85B62">
        <w:rPr/>
        <w:t>This</w:t>
      </w:r>
      <w:r w:rsidR="00D764CE">
        <w:rPr/>
        <w:t xml:space="preserve"> </w:t>
      </w:r>
      <w:r w:rsidR="00A85B62">
        <w:rPr/>
        <w:t>consultation</w:t>
      </w:r>
      <w:r w:rsidR="680EA965">
        <w:rPr/>
        <w:t xml:space="preserve"> on the Draft Submission Version of the Plan</w:t>
      </w:r>
      <w:r w:rsidR="6CD7823A">
        <w:rPr/>
        <w:t xml:space="preserve">, to run for </w:t>
      </w:r>
      <w:r w:rsidR="34872336">
        <w:rPr/>
        <w:t xml:space="preserve">over seven </w:t>
      </w:r>
      <w:r w:rsidR="6CD7823A">
        <w:rPr/>
        <w:t>weeks from 10</w:t>
      </w:r>
      <w:r w:rsidRPr="5FEB26CB" w:rsidR="6CD7823A">
        <w:rPr>
          <w:vertAlign w:val="superscript"/>
        </w:rPr>
        <w:t>th</w:t>
      </w:r>
      <w:r w:rsidR="6CD7823A">
        <w:rPr/>
        <w:t xml:space="preserve"> November</w:t>
      </w:r>
      <w:r w:rsidR="30160589">
        <w:rPr/>
        <w:t xml:space="preserve"> </w:t>
      </w:r>
      <w:r w:rsidR="0099395D">
        <w:rPr/>
        <w:t xml:space="preserve">2023 </w:t>
      </w:r>
      <w:r w:rsidR="30160589">
        <w:rPr/>
        <w:t>until the 3</w:t>
      </w:r>
      <w:r w:rsidRPr="5FEB26CB" w:rsidR="30160589">
        <w:rPr>
          <w:vertAlign w:val="superscript"/>
        </w:rPr>
        <w:t>rd</w:t>
      </w:r>
      <w:r w:rsidR="30160589">
        <w:rPr/>
        <w:t xml:space="preserve"> Jan</w:t>
      </w:r>
      <w:r w:rsidR="0099395D">
        <w:rPr/>
        <w:t>uary 2024</w:t>
      </w:r>
      <w:r w:rsidR="6CD7823A">
        <w:rPr/>
        <w:t>,</w:t>
      </w:r>
      <w:r w:rsidR="00A85B62">
        <w:rPr/>
        <w:t xml:space="preserve"> will ask for views on whether the Plan meets the tests of soundness set out in paragraph </w:t>
      </w:r>
      <w:r w:rsidR="00572539">
        <w:rPr/>
        <w:t>35</w:t>
      </w:r>
      <w:r w:rsidR="00A85B62">
        <w:rPr/>
        <w:t xml:space="preserve"> of the NPPF. The Proposed Submission Draft Plan is intended to </w:t>
      </w:r>
      <w:r w:rsidR="00F90F59">
        <w:rPr/>
        <w:t xml:space="preserve">then </w:t>
      </w:r>
      <w:r w:rsidR="00A85B62">
        <w:rPr/>
        <w:t xml:space="preserve">proceed straight to submission to the Secretary of State </w:t>
      </w:r>
      <w:r w:rsidR="00D764CE">
        <w:rPr/>
        <w:t>unless anything material arises from the consultation</w:t>
      </w:r>
      <w:r w:rsidR="00C36A51">
        <w:rPr/>
        <w:t>, although minor changes that would not constitute ‘main modifications’ may be made prior to submission</w:t>
      </w:r>
      <w:r w:rsidR="00D764CE">
        <w:rPr/>
        <w:t xml:space="preserve">. Comments received in response to this Regulation 19 consultation </w:t>
      </w:r>
      <w:r w:rsidR="00DA7818">
        <w:rPr/>
        <w:t>are submitted alongside the Plan to be considered by</w:t>
      </w:r>
      <w:r w:rsidR="00D764CE">
        <w:rPr/>
        <w:t xml:space="preserve"> the Inspector </w:t>
      </w:r>
      <w:r w:rsidR="00DA7818">
        <w:rPr/>
        <w:t>as part of the e</w:t>
      </w:r>
      <w:r w:rsidR="00D764CE">
        <w:rPr/>
        <w:t>xamination of the Plan.</w:t>
      </w:r>
      <w:r w:rsidR="00D94419">
        <w:rPr/>
        <w:t xml:space="preserve"> </w:t>
      </w:r>
    </w:p>
    <w:p w:rsidRPr="001356F1" w:rsidR="00633578" w:rsidP="00E87F7A" w:rsidRDefault="00826FBD" w14:paraId="41CEADB9" w14:textId="77777777">
      <w:pPr>
        <w:pStyle w:val="Heading1"/>
      </w:pPr>
      <w:r>
        <w:t xml:space="preserve">The </w:t>
      </w:r>
      <w:r w:rsidR="00235E0C">
        <w:t>Draft Local Plan</w:t>
      </w:r>
    </w:p>
    <w:p w:rsidR="00C715AB" w:rsidP="00C715AB" w:rsidRDefault="00BF2679" w14:paraId="48F25AC9" w14:textId="216ED0F6">
      <w:pPr>
        <w:pStyle w:val="bParagraphtext"/>
        <w:rPr/>
      </w:pPr>
      <w:r w:rsidR="00BF2679">
        <w:rPr/>
        <w:t xml:space="preserve"> </w:t>
      </w:r>
      <w:r w:rsidR="00ED5C19">
        <w:rPr/>
        <w:t xml:space="preserve">The </w:t>
      </w:r>
      <w:r w:rsidR="00336907">
        <w:rPr/>
        <w:t>Submission</w:t>
      </w:r>
      <w:r w:rsidR="00336907">
        <w:rPr/>
        <w:t xml:space="preserve"> </w:t>
      </w:r>
      <w:r w:rsidR="3E3E3B65">
        <w:rPr/>
        <w:t xml:space="preserve">Draft </w:t>
      </w:r>
      <w:r w:rsidR="00336907">
        <w:rPr/>
        <w:t>Local Plan</w:t>
      </w:r>
      <w:r w:rsidR="00ED5C19">
        <w:rPr/>
        <w:t xml:space="preserve"> o</w:t>
      </w:r>
      <w:r w:rsidR="00BA3DE0">
        <w:rPr/>
        <w:t>ffers a range of polic</w:t>
      </w:r>
      <w:r w:rsidR="00EB7DF4">
        <w:rPr/>
        <w:t>ies</w:t>
      </w:r>
      <w:r w:rsidR="00BA3DE0">
        <w:rPr/>
        <w:t xml:space="preserve"> </w:t>
      </w:r>
      <w:r w:rsidR="00237886">
        <w:rPr/>
        <w:t xml:space="preserve">with supporting text. These range from strategic policies to more detailed policies to be used in development management decisions. The Plan is comprehensive and will replace the Local Plan </w:t>
      </w:r>
      <w:r w:rsidR="00CB1556">
        <w:rPr/>
        <w:t>2036.</w:t>
      </w:r>
      <w:r w:rsidR="00237886">
        <w:rPr/>
        <w:t xml:space="preserve"> The Northern Gateway </w:t>
      </w:r>
      <w:r w:rsidR="3EBCD217">
        <w:rPr/>
        <w:t>Area Action Plan (</w:t>
      </w:r>
      <w:r w:rsidR="00237886">
        <w:rPr/>
        <w:t>A</w:t>
      </w:r>
      <w:r w:rsidR="00237886">
        <w:rPr/>
        <w:t>AP</w:t>
      </w:r>
      <w:r w:rsidR="77C8BED3">
        <w:rPr/>
        <w:t>)</w:t>
      </w:r>
      <w:r w:rsidR="00D8630E">
        <w:rPr/>
        <w:t xml:space="preserve"> is due to expire in 2026 so the site allocation policy will replace it. A</w:t>
      </w:r>
      <w:r w:rsidR="00237886">
        <w:rPr/>
        <w:t>ny adopted Neighbourhood Plans will be the only other documents</w:t>
      </w:r>
      <w:r w:rsidR="00237886">
        <w:rPr/>
        <w:t xml:space="preserve"> </w:t>
      </w:r>
      <w:r w:rsidR="00237886">
        <w:rPr/>
        <w:t>containin</w:t>
      </w:r>
      <w:r w:rsidR="00237886">
        <w:rPr/>
        <w:t>g</w:t>
      </w:r>
      <w:r w:rsidR="00237886">
        <w:rPr/>
        <w:t xml:space="preserve"> </w:t>
      </w:r>
      <w:r w:rsidR="00830AD0">
        <w:rPr/>
        <w:t xml:space="preserve">statutory </w:t>
      </w:r>
      <w:r w:rsidR="00237886">
        <w:rPr/>
        <w:t xml:space="preserve">planning policies. </w:t>
      </w:r>
    </w:p>
    <w:p w:rsidRPr="0029077A" w:rsidR="0029077A" w:rsidP="0029077A" w:rsidRDefault="0029077A" w14:paraId="6DAA6704" w14:textId="6B47A738">
      <w:pPr>
        <w:pStyle w:val="bParagraphtext"/>
        <w:rPr/>
      </w:pPr>
      <w:r w:rsidR="0029077A">
        <w:rPr/>
        <w:t xml:space="preserve"> During the preparation of the Local Plan 2040 there have been some significant national and local changes that have influenced the approach we have taken in drafting the detail of the site allocation policies.  The </w:t>
      </w:r>
      <w:r w:rsidR="0029077A">
        <w:rPr/>
        <w:t>key proposed change from national government has been the concept of introducing “the permission in principle consent route”. This proposed approach although not progressed at the time of writing has encouraged us to write more detailed policies than we have done in previous Plans.   </w:t>
      </w:r>
    </w:p>
    <w:p w:rsidRPr="0029077A" w:rsidR="0029077A" w:rsidP="0029077A" w:rsidRDefault="0029077A" w14:paraId="60ADF191" w14:textId="38BC602E">
      <w:pPr>
        <w:pStyle w:val="bParagraphtext"/>
        <w:rPr/>
      </w:pPr>
      <w:r w:rsidR="0029077A">
        <w:rPr/>
        <w:t xml:space="preserve"> This increased level of detail ensures that policies are drafted as comprehensively as possible to </w:t>
      </w:r>
      <w:r w:rsidR="0029077A">
        <w:rPr/>
        <w:t>provide</w:t>
      </w:r>
      <w:r w:rsidR="0029077A">
        <w:rPr/>
        <w:t xml:space="preserve"> more certainty to both developers and </w:t>
      </w:r>
      <w:r w:rsidR="0029077A">
        <w:rPr/>
        <w:t>local residents</w:t>
      </w:r>
      <w:r w:rsidR="0029077A">
        <w:rPr/>
        <w:t xml:space="preserve"> about the proposals and the considerations for a site.  The site allocation policies have been </w:t>
      </w:r>
      <w:r w:rsidR="4CAA5C06">
        <w:rPr/>
        <w:t>p</w:t>
      </w:r>
      <w:r w:rsidR="4CAA5C06">
        <w:rPr/>
        <w:t xml:space="preserve">roduced </w:t>
      </w:r>
      <w:r w:rsidR="0029077A">
        <w:rPr/>
        <w:t xml:space="preserve">by a thorough process </w:t>
      </w:r>
      <w:r w:rsidR="723FB17A">
        <w:rPr/>
        <w:t>informed by detailed urban design appraisals</w:t>
      </w:r>
      <w:r w:rsidR="0029077A">
        <w:rPr/>
        <w:t>. </w:t>
      </w:r>
      <w:r w:rsidR="00D8630E">
        <w:rPr/>
        <w:t xml:space="preserve">The structure of the Plan 2040 provides supporting text but with a more detailed policy content for the individual themed policies together with those for Areas of Focus and Development Sites. The sections below briefly summarise the key points from each chapter of the Plan. </w:t>
      </w:r>
    </w:p>
    <w:p w:rsidRPr="00524B3D" w:rsidR="00237886" w:rsidP="00237886" w:rsidRDefault="00237886" w14:paraId="6461E66E" w14:textId="77777777">
      <w:pPr>
        <w:pStyle w:val="bParagraphtext"/>
        <w:numPr>
          <w:ilvl w:val="0"/>
          <w:numId w:val="0"/>
        </w:numPr>
        <w:rPr>
          <w:b/>
          <w:i/>
        </w:rPr>
      </w:pPr>
      <w:r w:rsidRPr="00524B3D">
        <w:rPr>
          <w:b/>
          <w:i/>
        </w:rPr>
        <w:t>Introduction, vision and strategy</w:t>
      </w:r>
    </w:p>
    <w:p w:rsidR="00524B3D" w:rsidP="0944C6BF" w:rsidRDefault="00524B3D" w14:paraId="4D9F7808" w14:textId="1639603C">
      <w:pPr>
        <w:pStyle w:val="ListParagraph"/>
        <w:spacing w:after="0"/>
        <w:contextualSpacing/>
        <w:rPr>
          <w:rFonts w:eastAsiaTheme="majorEastAsia"/>
          <w:color w:val="000000" w:themeColor="text1"/>
          <w:lang w:eastAsia="en-US"/>
        </w:rPr>
      </w:pPr>
      <w:r w:rsidRPr="5FEB26CB" w:rsidR="00524B3D">
        <w:rPr>
          <w:rFonts w:eastAsia="" w:eastAsiaTheme="majorEastAsia"/>
          <w:lang w:eastAsia="en-US"/>
        </w:rPr>
        <w:t xml:space="preserve"> </w:t>
      </w:r>
      <w:r w:rsidRPr="5FEB26CB" w:rsidR="0029077A">
        <w:rPr>
          <w:rFonts w:eastAsia="" w:eastAsiaTheme="majorEastAsia"/>
          <w:lang w:eastAsia="en-US"/>
        </w:rPr>
        <w:t>A range of</w:t>
      </w:r>
      <w:r w:rsidRPr="5FEB26CB" w:rsidR="00B34974">
        <w:rPr>
          <w:rFonts w:eastAsia="" w:eastAsiaTheme="majorEastAsia"/>
          <w:lang w:eastAsia="en-US"/>
        </w:rPr>
        <w:t xml:space="preserve"> sources of data and background information </w:t>
      </w:r>
      <w:r w:rsidRPr="5FEB26CB" w:rsidR="00237886">
        <w:rPr>
          <w:rFonts w:eastAsia="" w:eastAsiaTheme="majorEastAsia"/>
          <w:lang w:eastAsia="en-US"/>
        </w:rPr>
        <w:t xml:space="preserve">have been used </w:t>
      </w:r>
      <w:r w:rsidRPr="5FEB26CB" w:rsidR="004278A0">
        <w:rPr>
          <w:rFonts w:eastAsia="" w:eastAsiaTheme="majorEastAsia"/>
          <w:lang w:eastAsia="en-US"/>
        </w:rPr>
        <w:t xml:space="preserve">in Chapter 1 </w:t>
      </w:r>
      <w:r w:rsidRPr="5FEB26CB" w:rsidR="00B34974">
        <w:rPr>
          <w:rFonts w:eastAsia="" w:eastAsiaTheme="majorEastAsia"/>
          <w:lang w:eastAsia="en-US"/>
        </w:rPr>
        <w:t xml:space="preserve">to describe Oxford’s strengths and role and </w:t>
      </w:r>
      <w:r w:rsidRPr="5FEB26CB" w:rsidR="000247F6">
        <w:rPr>
          <w:rFonts w:eastAsia="" w:eastAsiaTheme="majorEastAsia"/>
          <w:lang w:eastAsia="en-US"/>
        </w:rPr>
        <w:t>the</w:t>
      </w:r>
      <w:r w:rsidRPr="5FEB26CB" w:rsidR="00B11BDB">
        <w:rPr>
          <w:rFonts w:eastAsia="" w:eastAsiaTheme="majorEastAsia"/>
          <w:lang w:eastAsia="en-US"/>
        </w:rPr>
        <w:t xml:space="preserve"> </w:t>
      </w:r>
      <w:r w:rsidRPr="5FEB26CB" w:rsidR="00B34974">
        <w:rPr>
          <w:rFonts w:eastAsia="" w:eastAsiaTheme="majorEastAsia"/>
          <w:lang w:eastAsia="en-US"/>
        </w:rPr>
        <w:t>challenges</w:t>
      </w:r>
      <w:r w:rsidRPr="5FEB26CB" w:rsidR="000247F6">
        <w:rPr>
          <w:rFonts w:eastAsia="" w:eastAsiaTheme="majorEastAsia"/>
          <w:lang w:eastAsia="en-US"/>
        </w:rPr>
        <w:t xml:space="preserve"> it faces over the next 20 years</w:t>
      </w:r>
      <w:r w:rsidRPr="5FEB26CB" w:rsidR="00237886">
        <w:rPr>
          <w:rFonts w:eastAsia="" w:eastAsiaTheme="majorEastAsia"/>
          <w:lang w:eastAsia="en-US"/>
        </w:rPr>
        <w:t>, which have fed into the vision and informed the strategy</w:t>
      </w:r>
      <w:r w:rsidRPr="5FEB26CB" w:rsidR="00B34974">
        <w:rPr>
          <w:rFonts w:eastAsia="" w:eastAsiaTheme="majorEastAsia"/>
          <w:lang w:eastAsia="en-US"/>
        </w:rPr>
        <w:t xml:space="preserve">. </w:t>
      </w:r>
      <w:r w:rsidRPr="5FEB26CB" w:rsidR="12FB9283">
        <w:rPr>
          <w:rFonts w:eastAsia="" w:eastAsiaTheme="majorEastAsia"/>
          <w:lang w:eastAsia="en-US"/>
        </w:rPr>
        <w:t>The vision for Oxford is summarised as:</w:t>
      </w:r>
    </w:p>
    <w:p w:rsidR="12FB9283" w:rsidP="0944C6BF" w:rsidRDefault="12FB9283" w14:paraId="14CA6505" w14:textId="75E7DDE8">
      <w:pPr>
        <w:pStyle w:val="ListParagraph"/>
        <w:numPr>
          <w:ilvl w:val="0"/>
          <w:numId w:val="1"/>
        </w:numPr>
        <w:spacing w:after="0"/>
        <w:contextualSpacing/>
        <w:rPr>
          <w:color w:val="000000" w:themeColor="text1"/>
        </w:rPr>
      </w:pPr>
      <w:r>
        <w:t>A healthy and inclusive city to live in</w:t>
      </w:r>
    </w:p>
    <w:p w:rsidR="12FB9283" w:rsidP="0944C6BF" w:rsidRDefault="12FB9283" w14:paraId="37316CBF" w14:textId="10A534C3">
      <w:pPr>
        <w:pStyle w:val="ListParagraph"/>
        <w:numPr>
          <w:ilvl w:val="0"/>
          <w:numId w:val="1"/>
        </w:numPr>
        <w:spacing w:after="0"/>
        <w:contextualSpacing/>
        <w:rPr>
          <w:color w:val="000000" w:themeColor="text1"/>
        </w:rPr>
      </w:pPr>
      <w:r>
        <w:t>A fair and prosperous city with a globally important role in learning, knowledge and innovation</w:t>
      </w:r>
    </w:p>
    <w:p w:rsidR="12FB9283" w:rsidP="0944C6BF" w:rsidRDefault="12FB9283" w14:paraId="5A6205F0" w14:textId="3EDD1645">
      <w:pPr>
        <w:pStyle w:val="ListParagraph"/>
        <w:numPr>
          <w:ilvl w:val="0"/>
          <w:numId w:val="1"/>
        </w:numPr>
        <w:spacing w:after="0"/>
        <w:contextualSpacing/>
        <w:rPr>
          <w:color w:val="000000" w:themeColor="text1"/>
        </w:rPr>
      </w:pPr>
      <w:r>
        <w:t>A green and biodiverse city that is resilient to climate change</w:t>
      </w:r>
    </w:p>
    <w:p w:rsidR="12FB9283" w:rsidP="0944C6BF" w:rsidRDefault="12FB9283" w14:paraId="0A480DBD" w14:textId="49379ACD">
      <w:pPr>
        <w:pStyle w:val="ListParagraph"/>
        <w:numPr>
          <w:ilvl w:val="0"/>
          <w:numId w:val="1"/>
        </w:numPr>
        <w:spacing w:after="0"/>
        <w:contextualSpacing/>
        <w:rPr>
          <w:color w:val="000000" w:themeColor="text1"/>
        </w:rPr>
      </w:pPr>
      <w:r>
        <w:t>A city that utilises its resources with care, protects the air, water and soil and aims for net zero carbon</w:t>
      </w:r>
    </w:p>
    <w:p w:rsidR="12FB9283" w:rsidP="0944C6BF" w:rsidRDefault="12FB9283" w14:paraId="0263F14B" w14:textId="77777777">
      <w:pPr>
        <w:pStyle w:val="ListParagraph"/>
        <w:numPr>
          <w:ilvl w:val="0"/>
          <w:numId w:val="1"/>
        </w:numPr>
        <w:spacing w:after="0"/>
        <w:contextualSpacing/>
        <w:rPr>
          <w:color w:val="000000" w:themeColor="text1"/>
        </w:rPr>
      </w:pPr>
      <w:r>
        <w:t>A city that respects its heritage and fosters design of the highest quality</w:t>
      </w:r>
    </w:p>
    <w:p w:rsidR="12FB9283" w:rsidP="0944C6BF" w:rsidRDefault="12FB9283" w14:paraId="22F6371D" w14:textId="77777777">
      <w:pPr>
        <w:pStyle w:val="ListParagraph"/>
        <w:numPr>
          <w:ilvl w:val="0"/>
          <w:numId w:val="1"/>
        </w:numPr>
        <w:spacing w:after="0"/>
        <w:contextualSpacing/>
        <w:rPr>
          <w:color w:val="000000" w:themeColor="text1"/>
        </w:rPr>
      </w:pPr>
      <w:r w:rsidR="12FB9283">
        <w:rPr/>
        <w:t>A liveable city with strong communities and opportunities for all</w:t>
      </w:r>
    </w:p>
    <w:p w:rsidR="5FEB26CB" w:rsidP="5FEB26CB" w:rsidRDefault="5FEB26CB" w14:paraId="521FFA05" w14:textId="3020B9F5">
      <w:pPr>
        <w:pStyle w:val="Normal"/>
        <w:spacing w:after="0"/>
        <w:ind w:left="0"/>
        <w:contextualSpacing/>
        <w:rPr>
          <w:color w:val="000000" w:themeColor="text1" w:themeTint="FF" w:themeShade="FF"/>
          <w:sz w:val="24"/>
          <w:szCs w:val="24"/>
        </w:rPr>
      </w:pPr>
    </w:p>
    <w:p w:rsidR="75E277BC" w:rsidP="4083A299" w:rsidRDefault="75E277BC" w14:paraId="13DE40ED" w14:textId="1CAEA954">
      <w:pPr>
        <w:pStyle w:val="ListParagraph"/>
        <w:spacing w:after="0"/>
        <w:contextualSpacing/>
        <w:rPr>
          <w:rFonts w:eastAsia="" w:eastAsiaTheme="majorEastAsia"/>
          <w:color w:val="000000" w:themeColor="text1"/>
          <w:lang w:eastAsia="en-US"/>
        </w:rPr>
      </w:pPr>
      <w:r w:rsidRPr="5FEB26CB" w:rsidR="75E277BC">
        <w:rPr>
          <w:rFonts w:eastAsia="Arial" w:cs="Arial"/>
          <w:color w:val="000000" w:themeColor="text1" w:themeTint="FF" w:themeShade="FF"/>
          <w:lang w:val="en-US"/>
        </w:rPr>
        <w:t xml:space="preserve">Four strategic policies are set out in Chapter 1. Policy S1: sets out the overarching approach to </w:t>
      </w:r>
      <w:r w:rsidRPr="5FEB26CB" w:rsidR="75E277BC">
        <w:rPr>
          <w:rFonts w:eastAsia="Arial" w:cs="Arial"/>
          <w:color w:val="000000" w:themeColor="text1" w:themeTint="FF" w:themeShade="FF"/>
          <w:lang w:val="en-US"/>
        </w:rPr>
        <w:t>locating</w:t>
      </w:r>
      <w:r w:rsidRPr="5FEB26CB" w:rsidR="75E277BC">
        <w:rPr>
          <w:rFonts w:eastAsia="Arial" w:cs="Arial"/>
          <w:color w:val="000000" w:themeColor="text1" w:themeTint="FF" w:themeShade="FF"/>
          <w:lang w:val="en-US"/>
        </w:rPr>
        <w:t xml:space="preserve"> new development and for sustainable growth with a priority to deliver affordable homes, focus employment on </w:t>
      </w:r>
      <w:r w:rsidRPr="5FEB26CB" w:rsidR="75E277BC">
        <w:rPr>
          <w:rFonts w:eastAsia="Arial" w:cs="Arial"/>
          <w:lang w:val="en-US"/>
        </w:rPr>
        <w:t xml:space="preserve">existing sites, </w:t>
      </w:r>
      <w:r w:rsidRPr="5FEB26CB" w:rsidR="487B93F7">
        <w:rPr>
          <w:rFonts w:eastAsia="Arial" w:cs="Arial"/>
          <w:lang w:val="en-US"/>
        </w:rPr>
        <w:t xml:space="preserve">and </w:t>
      </w:r>
      <w:r w:rsidRPr="5FEB26CB" w:rsidR="75E277BC">
        <w:rPr>
          <w:rFonts w:eastAsia="Arial" w:cs="Arial"/>
          <w:lang w:val="en-US"/>
        </w:rPr>
        <w:t>protect green and blue infrastructure networks</w:t>
      </w:r>
      <w:r w:rsidRPr="5FEB26CB" w:rsidR="75E277BC">
        <w:rPr>
          <w:rFonts w:eastAsia="Arial" w:cs="Arial"/>
          <w:color w:val="000000" w:themeColor="text1" w:themeTint="FF" w:themeShade="FF"/>
          <w:lang w:val="en-US"/>
        </w:rPr>
        <w:t xml:space="preserve"> </w:t>
      </w:r>
      <w:r w:rsidRPr="5FEB26CB" w:rsidR="75E277BC">
        <w:rPr>
          <w:rFonts w:eastAsia="Arial" w:cs="Arial"/>
        </w:rPr>
        <w:t xml:space="preserve">. </w:t>
      </w:r>
      <w:r w:rsidRPr="5FEB26CB" w:rsidR="75E277BC">
        <w:rPr>
          <w:rFonts w:eastAsia="Arial" w:cs="Arial"/>
          <w:color w:val="000000" w:themeColor="text1" w:themeTint="FF" w:themeShade="FF"/>
          <w:lang w:val="en-US"/>
        </w:rPr>
        <w:t xml:space="preserve">Policy S2: sets out the importance of </w:t>
      </w:r>
      <w:r w:rsidRPr="5FEB26CB" w:rsidR="75E277BC">
        <w:rPr>
          <w:rFonts w:eastAsia="Arial" w:cs="Arial"/>
          <w:color w:val="000000" w:themeColor="text1" w:themeTint="FF" w:themeShade="FF"/>
          <w:lang w:val="en-US"/>
        </w:rPr>
        <w:t>good design</w:t>
      </w:r>
      <w:r w:rsidRPr="5FEB26CB" w:rsidR="75E277BC">
        <w:rPr>
          <w:rFonts w:eastAsia="Arial" w:cs="Arial"/>
          <w:color w:val="000000" w:themeColor="text1" w:themeTint="FF" w:themeShade="FF"/>
          <w:lang w:val="en-US"/>
        </w:rPr>
        <w:t xml:space="preserve">. Policy S3 Says the City Council will work with infrastructure providers, </w:t>
      </w:r>
      <w:r w:rsidRPr="5FEB26CB" w:rsidR="75E277BC">
        <w:rPr>
          <w:rFonts w:eastAsia="Arial" w:cs="Arial"/>
          <w:color w:val="000000" w:themeColor="text1" w:themeTint="FF" w:themeShade="FF"/>
          <w:lang w:val="en-US"/>
        </w:rPr>
        <w:t>developers</w:t>
      </w:r>
      <w:r w:rsidRPr="5FEB26CB" w:rsidR="75E277BC">
        <w:rPr>
          <w:rFonts w:eastAsia="Arial" w:cs="Arial"/>
          <w:color w:val="000000" w:themeColor="text1" w:themeTint="FF" w:themeShade="FF"/>
          <w:lang w:val="en-US"/>
        </w:rPr>
        <w:t xml:space="preserve"> and </w:t>
      </w:r>
      <w:r w:rsidRPr="5FEB26CB" w:rsidR="75E277BC">
        <w:rPr>
          <w:rFonts w:eastAsia="Arial" w:cs="Arial"/>
          <w:lang w:val="en-US"/>
        </w:rPr>
        <w:t xml:space="preserve">other key stakeholders to support the delivery of the infrastructure necessary to enable the development set out in the Local Plan and sets out delivery mechanisms. </w:t>
      </w:r>
      <w:r w:rsidRPr="5FEB26CB" w:rsidR="75E277BC">
        <w:rPr>
          <w:rFonts w:eastAsia="Arial" w:cs="Arial"/>
          <w:color w:val="000000" w:themeColor="text1" w:themeTint="FF" w:themeShade="FF"/>
          <w:lang w:val="en-US"/>
        </w:rPr>
        <w:t xml:space="preserve">Policy S4 focuses on viability. It sets </w:t>
      </w:r>
      <w:r w:rsidRPr="5FEB26CB" w:rsidR="00517231">
        <w:rPr>
          <w:rFonts w:eastAsia="Arial" w:cs="Arial"/>
          <w:color w:val="000000" w:themeColor="text1" w:themeTint="FF" w:themeShade="FF"/>
          <w:lang w:val="en-US"/>
        </w:rPr>
        <w:t xml:space="preserve">out </w:t>
      </w:r>
      <w:r w:rsidRPr="5FEB26CB" w:rsidR="75E277BC">
        <w:rPr>
          <w:rFonts w:eastAsia="Arial" w:cs="Arial"/>
          <w:color w:val="000000" w:themeColor="text1" w:themeTint="FF" w:themeShade="FF"/>
          <w:lang w:val="en-US"/>
        </w:rPr>
        <w:t xml:space="preserve">when viability evidence may be </w:t>
      </w:r>
      <w:r w:rsidRPr="5FEB26CB" w:rsidR="75E277BC">
        <w:rPr>
          <w:rFonts w:eastAsia="Arial" w:cs="Arial"/>
          <w:color w:val="000000" w:themeColor="text1" w:themeTint="FF" w:themeShade="FF"/>
          <w:lang w:val="en-US"/>
        </w:rPr>
        <w:t>accepted</w:t>
      </w:r>
      <w:r w:rsidRPr="5FEB26CB" w:rsidR="29DAE77B">
        <w:rPr>
          <w:rFonts w:eastAsia="Arial" w:cs="Arial"/>
          <w:color w:val="000000" w:themeColor="text1" w:themeTint="FF" w:themeShade="FF"/>
          <w:lang w:val="en-US"/>
        </w:rPr>
        <w:t xml:space="preserve"> </w:t>
      </w:r>
      <w:r w:rsidRPr="5FEB26CB" w:rsidR="29C33470">
        <w:rPr>
          <w:rFonts w:eastAsia="Arial" w:cs="Arial"/>
          <w:color w:val="000000" w:themeColor="text1" w:themeTint="FF" w:themeShade="FF"/>
          <w:lang w:val="en-US"/>
        </w:rPr>
        <w:t xml:space="preserve"> it</w:t>
      </w:r>
      <w:r w:rsidRPr="5FEB26CB" w:rsidR="29C33470">
        <w:rPr>
          <w:rFonts w:eastAsia="Arial" w:cs="Arial"/>
          <w:color w:val="000000" w:themeColor="text1" w:themeTint="FF" w:themeShade="FF"/>
          <w:lang w:val="en-US"/>
        </w:rPr>
        <w:t xml:space="preserve"> specifies the order in which</w:t>
      </w:r>
      <w:r w:rsidRPr="5FEB26CB" w:rsidR="75E277BC">
        <w:rPr>
          <w:rFonts w:eastAsia="Arial" w:cs="Arial"/>
          <w:color w:val="000000" w:themeColor="text1" w:themeTint="FF" w:themeShade="FF"/>
          <w:lang w:val="en-US"/>
        </w:rPr>
        <w:t xml:space="preserve"> </w:t>
      </w:r>
      <w:r w:rsidRPr="5FEB26CB" w:rsidR="75E277BC">
        <w:rPr>
          <w:rFonts w:eastAsia="Arial" w:cs="Arial"/>
          <w:color w:val="000000" w:themeColor="text1" w:themeTint="FF" w:themeShade="FF"/>
          <w:lang w:val="en-US"/>
        </w:rPr>
        <w:t xml:space="preserve">changes to a proposed scheme </w:t>
      </w:r>
      <w:r w:rsidRPr="5FEB26CB" w:rsidR="75E277BC">
        <w:rPr>
          <w:rFonts w:eastAsia="Arial" w:cs="Arial"/>
          <w:color w:val="000000" w:themeColor="text1" w:themeTint="FF" w:themeShade="FF"/>
          <w:lang w:val="en-US"/>
        </w:rPr>
        <w:t>should take place</w:t>
      </w:r>
      <w:r w:rsidRPr="5FEB26CB" w:rsidR="75E277BC">
        <w:rPr>
          <w:rFonts w:eastAsia="Arial" w:cs="Arial"/>
          <w:color w:val="000000" w:themeColor="text1" w:themeTint="FF" w:themeShade="FF"/>
          <w:lang w:val="en-US"/>
        </w:rPr>
        <w:t xml:space="preserve"> until the proposed scheme becomes </w:t>
      </w:r>
      <w:r w:rsidRPr="5FEB26CB" w:rsidR="75E277BC">
        <w:rPr>
          <w:rFonts w:eastAsia="Arial" w:cs="Arial"/>
          <w:color w:val="000000" w:themeColor="text1" w:themeTint="FF" w:themeShade="FF"/>
          <w:lang w:val="en-US"/>
        </w:rPr>
        <w:t>viable</w:t>
      </w:r>
      <w:r w:rsidRPr="5FEB26CB" w:rsidR="75E277BC">
        <w:rPr>
          <w:rFonts w:eastAsia="Arial" w:cs="Arial"/>
          <w:color w:val="000000" w:themeColor="text1" w:themeTint="FF" w:themeShade="FF"/>
          <w:lang w:val="en-US"/>
        </w:rPr>
        <w:t xml:space="preserve">. The approach </w:t>
      </w:r>
      <w:r w:rsidRPr="5FEB26CB" w:rsidR="75E277BC">
        <w:rPr>
          <w:rFonts w:eastAsia="Arial" w:cs="Arial"/>
          <w:color w:val="000000" w:themeColor="text1" w:themeTint="FF" w:themeShade="FF"/>
          <w:lang w:val="en-US"/>
        </w:rPr>
        <w:t>prioritises</w:t>
      </w:r>
      <w:r w:rsidRPr="5FEB26CB" w:rsidR="75E277BC">
        <w:rPr>
          <w:rFonts w:eastAsia="Arial" w:cs="Arial"/>
          <w:color w:val="000000" w:themeColor="text1" w:themeTint="FF" w:themeShade="FF"/>
          <w:lang w:val="en-US"/>
        </w:rPr>
        <w:t xml:space="preserve"> social rented housing, as that is the last adjustment that should be made to achieve viability, only after adjustments to parking levels and carbon offsetting costs (if there are any) have been made</w:t>
      </w:r>
      <w:r w:rsidRPr="5FEB26CB" w:rsidR="75E277BC">
        <w:rPr>
          <w:rFonts w:eastAsia="Arial" w:cs="Arial"/>
          <w:color w:val="000000" w:themeColor="text1" w:themeTint="FF" w:themeShade="FF"/>
          <w:lang w:val="en-US"/>
        </w:rPr>
        <w:t xml:space="preserve">.  </w:t>
      </w:r>
      <w:r w:rsidRPr="5FEB26CB" w:rsidR="75E277BC">
        <w:rPr>
          <w:rFonts w:ascii="Calibri" w:hAnsi="Calibri" w:eastAsia="Calibri" w:cs="Calibri"/>
          <w:color w:val="000000" w:themeColor="text1" w:themeTint="FF" w:themeShade="FF"/>
          <w:lang w:val="en-US"/>
        </w:rPr>
        <w:t xml:space="preserve"> </w:t>
      </w:r>
    </w:p>
    <w:p w:rsidR="0944C6BF" w:rsidP="0944C6BF" w:rsidRDefault="0944C6BF" w14:paraId="6FD1E4CA" w14:textId="57F87330">
      <w:pPr>
        <w:spacing w:after="0"/>
        <w:contextualSpacing/>
        <w:rPr>
          <w:color w:val="000000" w:themeColor="text1"/>
        </w:rPr>
      </w:pPr>
    </w:p>
    <w:p w:rsidR="00D359B3" w:rsidP="00CC60CB" w:rsidRDefault="00D359B3" w14:paraId="049F31CB" w14:textId="77777777">
      <w:pPr>
        <w:pStyle w:val="Heading1"/>
        <w:spacing w:before="0" w:after="0"/>
        <w:contextualSpacing/>
        <w:rPr>
          <w:rFonts w:eastAsiaTheme="minorHAnsi"/>
          <w:b w:val="0"/>
          <w:i/>
          <w:lang w:eastAsia="en-US"/>
        </w:rPr>
      </w:pPr>
    </w:p>
    <w:p w:rsidR="00524B3D" w:rsidP="547EA015" w:rsidRDefault="007B0EF5" w14:paraId="1ABF5C48" w14:textId="43A66FAE">
      <w:pPr>
        <w:pStyle w:val="Heading1"/>
        <w:spacing w:before="0" w:after="0"/>
        <w:contextualSpacing/>
        <w:rPr>
          <w:rFonts w:cs="Arial" w:eastAsiaTheme="minorEastAsia"/>
          <w:i/>
          <w:iCs/>
          <w:lang w:eastAsia="en-US"/>
        </w:rPr>
      </w:pPr>
      <w:r w:rsidRPr="547EA015">
        <w:rPr>
          <w:rFonts w:cs="Arial" w:eastAsiaTheme="minorEastAsia"/>
          <w:i/>
          <w:iCs/>
          <w:lang w:eastAsia="en-US"/>
        </w:rPr>
        <w:t>A healthy</w:t>
      </w:r>
      <w:r w:rsidRPr="547EA015" w:rsidR="6A8B8336">
        <w:rPr>
          <w:rFonts w:cs="Arial" w:eastAsiaTheme="minorEastAsia"/>
          <w:i/>
          <w:iCs/>
          <w:lang w:eastAsia="en-US"/>
        </w:rPr>
        <w:t xml:space="preserve"> and</w:t>
      </w:r>
      <w:r w:rsidRPr="547EA015">
        <w:rPr>
          <w:rFonts w:cs="Arial" w:eastAsiaTheme="minorEastAsia"/>
          <w:i/>
          <w:iCs/>
          <w:lang w:eastAsia="en-US"/>
        </w:rPr>
        <w:t xml:space="preserve"> inclusive city to live in</w:t>
      </w:r>
    </w:p>
    <w:p w:rsidRPr="00100646" w:rsidR="00100646" w:rsidP="00100646" w:rsidRDefault="00100646" w14:paraId="53128261" w14:textId="77777777">
      <w:pPr>
        <w:rPr>
          <w:rFonts w:eastAsiaTheme="minorHAnsi"/>
          <w:lang w:eastAsia="en-US"/>
        </w:rPr>
      </w:pPr>
    </w:p>
    <w:p w:rsidR="00D42269" w:rsidP="547EA015" w:rsidRDefault="006F474D" w14:paraId="5C41DF81" w14:textId="29ABA49F">
      <w:pPr>
        <w:pStyle w:val="ListParagraph"/>
        <w:rPr>
          <w:rFonts w:eastAsiaTheme="minorEastAsia"/>
          <w:lang w:eastAsia="en-US"/>
        </w:rPr>
      </w:pPr>
      <w:r w:rsidRPr="5FEB26CB" w:rsidR="006F474D">
        <w:rPr>
          <w:rFonts w:eastAsia="" w:eastAsiaTheme="minorEastAsia"/>
          <w:lang w:eastAsia="en-US"/>
        </w:rPr>
        <w:t xml:space="preserve">Chapter 2 is concerned with the delivery of housing. </w:t>
      </w:r>
      <w:r w:rsidRPr="5FEB26CB" w:rsidR="00AF4EA2">
        <w:rPr>
          <w:rFonts w:eastAsia="" w:eastAsiaTheme="minorEastAsia"/>
          <w:lang w:eastAsia="en-US"/>
        </w:rPr>
        <w:t xml:space="preserve">There is an urgent need for new homes in Oxford, but a limited and constrained supply of land available for development in the city. Policy H1 sets out the </w:t>
      </w:r>
      <w:r w:rsidRPr="5FEB26CB" w:rsidR="3E0BAD87">
        <w:rPr>
          <w:rFonts w:eastAsia="" w:eastAsiaTheme="minorEastAsia"/>
          <w:lang w:eastAsia="en-US"/>
        </w:rPr>
        <w:t>housing requirement over the Plan period 2020-2040. The level of housing need</w:t>
      </w:r>
      <w:r w:rsidRPr="5FEB26CB" w:rsidR="00AF4EA2">
        <w:rPr>
          <w:rFonts w:eastAsia="" w:eastAsiaTheme="minorEastAsia"/>
          <w:lang w:eastAsia="en-US"/>
        </w:rPr>
        <w:t xml:space="preserve"> reflects the exceptional circumstances of the Oxfordshire economy</w:t>
      </w:r>
      <w:r w:rsidRPr="5FEB26CB" w:rsidR="47AC52B5">
        <w:rPr>
          <w:rFonts w:eastAsia="" w:eastAsiaTheme="minorEastAsia"/>
          <w:lang w:eastAsia="en-US"/>
        </w:rPr>
        <w:t>,</w:t>
      </w:r>
      <w:r w:rsidRPr="5FEB26CB" w:rsidR="00AF4EA2">
        <w:rPr>
          <w:rFonts w:eastAsia="" w:eastAsiaTheme="minorEastAsia"/>
          <w:lang w:eastAsia="en-US"/>
        </w:rPr>
        <w:t xml:space="preserve"> its performance and its significant contribution to the regional and national economy, which act</w:t>
      </w:r>
      <w:r w:rsidRPr="5FEB26CB" w:rsidR="6A0101AE">
        <w:rPr>
          <w:rFonts w:eastAsia="" w:eastAsiaTheme="minorEastAsia"/>
          <w:lang w:eastAsia="en-US"/>
        </w:rPr>
        <w:t>s</w:t>
      </w:r>
      <w:r w:rsidRPr="5FEB26CB" w:rsidR="00AF4EA2">
        <w:rPr>
          <w:rFonts w:eastAsia="" w:eastAsiaTheme="minorEastAsia"/>
          <w:lang w:eastAsia="en-US"/>
        </w:rPr>
        <w:t xml:space="preserve"> as a key driver of housing need that impacts on current and future demographic trends and market signals. </w:t>
      </w:r>
      <w:r w:rsidRPr="5FEB26CB" w:rsidR="00D42269">
        <w:rPr>
          <w:rFonts w:eastAsia="" w:eastAsiaTheme="minorEastAsia"/>
          <w:lang w:eastAsia="en-US"/>
        </w:rPr>
        <w:t>If lower levels of housing w</w:t>
      </w:r>
      <w:r w:rsidRPr="5FEB26CB" w:rsidR="00517231">
        <w:rPr>
          <w:rFonts w:eastAsia="" w:eastAsiaTheme="minorEastAsia"/>
          <w:lang w:eastAsia="en-US"/>
        </w:rPr>
        <w:t>ere</w:t>
      </w:r>
      <w:r w:rsidRPr="5FEB26CB" w:rsidR="00D42269">
        <w:rPr>
          <w:rFonts w:eastAsia="" w:eastAsiaTheme="minorEastAsia"/>
          <w:lang w:eastAsia="en-US"/>
        </w:rPr>
        <w:t xml:space="preserve"> pursued then there would be greater in-commuting, a worsening of affordability and constraints placed on Oxford’s economy. </w:t>
      </w:r>
    </w:p>
    <w:p w:rsidR="00F863D2" w:rsidP="5FEB26CB" w:rsidRDefault="00D42269" w14:paraId="24461AE7" w14:textId="3813A1A3">
      <w:pPr>
        <w:pStyle w:val="ListParagraph"/>
        <w:rPr>
          <w:rFonts w:eastAsia="" w:eastAsiaTheme="minorEastAsia"/>
          <w:lang w:eastAsia="en-US"/>
        </w:rPr>
      </w:pPr>
      <w:r w:rsidRPr="5FEB26CB" w:rsidR="00D42269">
        <w:rPr>
          <w:rFonts w:eastAsia="" w:eastAsiaTheme="minorEastAsia"/>
          <w:lang w:eastAsia="en-US"/>
        </w:rPr>
        <w:t xml:space="preserve">The policy approach to help meet the housing need, has been to maximise </w:t>
      </w:r>
      <w:r w:rsidRPr="5FEB26CB" w:rsidR="00D42269">
        <w:rPr>
          <w:rFonts w:eastAsia="" w:eastAsiaTheme="minorEastAsia"/>
          <w:lang w:eastAsia="en-US"/>
        </w:rPr>
        <w:t>capacity</w:t>
      </w:r>
      <w:r w:rsidRPr="5FEB26CB" w:rsidR="00D42269">
        <w:rPr>
          <w:rFonts w:eastAsia="" w:eastAsiaTheme="minorEastAsia"/>
          <w:lang w:eastAsia="en-US"/>
        </w:rPr>
        <w:t xml:space="preserve"> in the city. The Housing and Economic </w:t>
      </w:r>
      <w:r w:rsidRPr="5FEB26CB" w:rsidR="00AD2B39">
        <w:rPr>
          <w:rFonts w:eastAsia="" w:eastAsiaTheme="minorEastAsia"/>
          <w:lang w:eastAsia="en-US"/>
        </w:rPr>
        <w:t>Needs Assessment</w:t>
      </w:r>
      <w:r w:rsidRPr="5FEB26CB" w:rsidR="00D42269">
        <w:rPr>
          <w:rFonts w:eastAsia="" w:eastAsiaTheme="minorEastAsia"/>
          <w:lang w:eastAsia="en-US"/>
        </w:rPr>
        <w:t xml:space="preserve"> (HE</w:t>
      </w:r>
      <w:r w:rsidRPr="5FEB26CB" w:rsidR="00AD2B39">
        <w:rPr>
          <w:rFonts w:eastAsia="" w:eastAsiaTheme="minorEastAsia"/>
          <w:lang w:eastAsia="en-US"/>
        </w:rPr>
        <w:t>NA</w:t>
      </w:r>
      <w:r w:rsidRPr="5FEB26CB" w:rsidR="00D42269">
        <w:rPr>
          <w:rFonts w:eastAsia="" w:eastAsiaTheme="minorEastAsia"/>
          <w:lang w:eastAsia="en-US"/>
        </w:rPr>
        <w:t xml:space="preserve">), jointly commissioned with Cherwell District Council, objectively assessed the housing need for Oxford. </w:t>
      </w:r>
      <w:r w:rsidRPr="5FEB26CB" w:rsidR="3003F266">
        <w:rPr>
          <w:rFonts w:eastAsia="" w:eastAsiaTheme="minorEastAsia"/>
          <w:lang w:eastAsia="en-US"/>
        </w:rPr>
        <w:t>This looked at four scenarios.</w:t>
      </w:r>
      <w:r w:rsidRPr="5FEB26CB" w:rsidR="27E85A4B">
        <w:rPr>
          <w:rFonts w:eastAsia="" w:eastAsiaTheme="minorEastAsia"/>
          <w:lang w:eastAsia="en-US"/>
        </w:rPr>
        <w:t xml:space="preserve"> Due to exceptional circumstances, a method other than the Government’s Standard Method is used to </w:t>
      </w:r>
      <w:r w:rsidRPr="5FEB26CB" w:rsidR="27E85A4B">
        <w:rPr>
          <w:rFonts w:eastAsia="" w:eastAsiaTheme="minorEastAsia"/>
          <w:lang w:eastAsia="en-US"/>
        </w:rPr>
        <w:t>determine</w:t>
      </w:r>
      <w:r w:rsidRPr="5FEB26CB" w:rsidR="27E85A4B">
        <w:rPr>
          <w:rFonts w:eastAsia="" w:eastAsiaTheme="minorEastAsia"/>
          <w:lang w:eastAsia="en-US"/>
        </w:rPr>
        <w:t xml:space="preserve"> Oxford’s housing need.</w:t>
      </w:r>
      <w:r w:rsidRPr="5FEB26CB" w:rsidR="3003F266">
        <w:rPr>
          <w:rFonts w:eastAsia="" w:eastAsiaTheme="minorEastAsia"/>
          <w:lang w:eastAsia="en-US"/>
        </w:rPr>
        <w:t xml:space="preserve"> The most </w:t>
      </w:r>
      <w:r w:rsidRPr="5FEB26CB" w:rsidR="3003F266">
        <w:rPr>
          <w:rFonts w:eastAsia="" w:eastAsiaTheme="minorEastAsia"/>
          <w:lang w:eastAsia="en-US"/>
        </w:rPr>
        <w:t>appropriate scenario</w:t>
      </w:r>
      <w:r w:rsidRPr="5FEB26CB" w:rsidR="3003F266">
        <w:rPr>
          <w:rFonts w:eastAsia="" w:eastAsiaTheme="minorEastAsia"/>
          <w:lang w:eastAsia="en-US"/>
        </w:rPr>
        <w:t xml:space="preserve"> to </w:t>
      </w:r>
      <w:r w:rsidRPr="5FEB26CB" w:rsidR="3003F266">
        <w:rPr>
          <w:rFonts w:eastAsia="" w:eastAsiaTheme="minorEastAsia"/>
          <w:lang w:eastAsia="en-US"/>
        </w:rPr>
        <w:t>represent</w:t>
      </w:r>
      <w:r w:rsidRPr="5FEB26CB" w:rsidR="3003F266">
        <w:rPr>
          <w:rFonts w:eastAsia="" w:eastAsiaTheme="minorEastAsia"/>
          <w:lang w:eastAsia="en-US"/>
        </w:rPr>
        <w:t xml:space="preserve"> Oxford’s housing need is based on an independent assessment of expected economic growth in Oxfordshire</w:t>
      </w:r>
      <w:r w:rsidRPr="5FEB26CB" w:rsidR="3003F266">
        <w:rPr>
          <w:rFonts w:eastAsia="" w:eastAsiaTheme="minorEastAsia"/>
          <w:lang w:eastAsia="en-US"/>
        </w:rPr>
        <w:t xml:space="preserve">.  </w:t>
      </w:r>
      <w:r w:rsidRPr="5FEB26CB" w:rsidR="00D42269">
        <w:rPr>
          <w:rFonts w:eastAsia="" w:eastAsiaTheme="minorEastAsia"/>
          <w:lang w:eastAsia="en-US"/>
        </w:rPr>
        <w:t>The HELAA and site allocations policies in this Plan aim to prioritise residential development over other uses, including employment land.</w:t>
      </w:r>
      <w:r w:rsidRPr="5FEB26CB" w:rsidR="00F863D2">
        <w:rPr>
          <w:rFonts w:eastAsia="" w:eastAsiaTheme="minorEastAsia"/>
          <w:lang w:eastAsia="en-US"/>
        </w:rPr>
        <w:t xml:space="preserve"> </w:t>
      </w:r>
    </w:p>
    <w:p w:rsidR="5FEB26CB" w:rsidP="5FEB26CB" w:rsidRDefault="5FEB26CB" w14:paraId="1B66E31B" w14:textId="3EBBA7D1">
      <w:pPr>
        <w:pStyle w:val="Normal"/>
        <w:ind w:left="0"/>
        <w:rPr>
          <w:rFonts w:eastAsia="" w:eastAsiaTheme="minorEastAsia"/>
          <w:color w:val="000000" w:themeColor="text1" w:themeTint="FF" w:themeShade="FF"/>
          <w:sz w:val="24"/>
          <w:szCs w:val="24"/>
          <w:lang w:eastAsia="en-US"/>
        </w:rPr>
      </w:pPr>
    </w:p>
    <w:p w:rsidR="0095264E" w:rsidP="547EA015" w:rsidRDefault="00F863D2" w14:paraId="5E723F8F" w14:textId="325810D5">
      <w:pPr>
        <w:pStyle w:val="ListParagraph"/>
        <w:spacing w:after="0"/>
        <w:contextualSpacing/>
        <w:rPr>
          <w:rFonts w:eastAsiaTheme="minorEastAsia"/>
          <w:lang w:eastAsia="en-US"/>
        </w:rPr>
      </w:pPr>
      <w:r w:rsidRPr="5FEB26CB" w:rsidR="00F863D2">
        <w:rPr>
          <w:rFonts w:eastAsia="" w:eastAsiaTheme="minorEastAsia"/>
          <w:lang w:eastAsia="en-US"/>
        </w:rPr>
        <w:t>Th</w:t>
      </w:r>
      <w:r w:rsidRPr="5FEB26CB" w:rsidR="00743C36">
        <w:rPr>
          <w:rFonts w:eastAsia="" w:eastAsiaTheme="minorEastAsia"/>
          <w:lang w:eastAsia="en-US"/>
        </w:rPr>
        <w:t>is</w:t>
      </w:r>
      <w:r w:rsidRPr="5FEB26CB" w:rsidR="00F863D2">
        <w:rPr>
          <w:rFonts w:eastAsia="" w:eastAsiaTheme="minorEastAsia"/>
          <w:lang w:eastAsia="en-US"/>
        </w:rPr>
        <w:t xml:space="preserve"> policy approach has sought to maximise the site allocations for housing, promote the efficient use and development of land and sites</w:t>
      </w:r>
      <w:r w:rsidRPr="5FEB26CB" w:rsidR="7CB092B8">
        <w:rPr>
          <w:rFonts w:eastAsia="" w:eastAsiaTheme="minorEastAsia"/>
          <w:lang w:eastAsia="en-US"/>
        </w:rPr>
        <w:t>,</w:t>
      </w:r>
      <w:r w:rsidRPr="5FEB26CB" w:rsidR="00F863D2">
        <w:rPr>
          <w:rFonts w:eastAsia="" w:eastAsiaTheme="minorEastAsia"/>
          <w:lang w:eastAsia="en-US"/>
        </w:rPr>
        <w:t xml:space="preserve"> including highest densities and building heights in appropriate locations</w:t>
      </w:r>
      <w:r w:rsidRPr="5FEB26CB" w:rsidR="4CB214A4">
        <w:rPr>
          <w:rFonts w:eastAsia="" w:eastAsiaTheme="minorEastAsia"/>
          <w:lang w:eastAsia="en-US"/>
        </w:rPr>
        <w:t>,</w:t>
      </w:r>
      <w:r w:rsidRPr="5FEB26CB" w:rsidR="00F863D2">
        <w:rPr>
          <w:rFonts w:eastAsia="" w:eastAsiaTheme="minorEastAsia"/>
          <w:lang w:eastAsia="en-US"/>
        </w:rPr>
        <w:t xml:space="preserve"> and allow an element of housing on all employment sites, where suitable. However</w:t>
      </w:r>
      <w:r w:rsidRPr="5FEB26CB" w:rsidR="28A5E6E0">
        <w:rPr>
          <w:rFonts w:eastAsia="" w:eastAsiaTheme="minorEastAsia"/>
          <w:lang w:eastAsia="en-US"/>
        </w:rPr>
        <w:t>,</w:t>
      </w:r>
      <w:r w:rsidRPr="5FEB26CB" w:rsidR="00F863D2">
        <w:rPr>
          <w:rFonts w:eastAsia="" w:eastAsiaTheme="minorEastAsia"/>
          <w:lang w:eastAsia="en-US"/>
        </w:rPr>
        <w:t xml:space="preserve"> the</w:t>
      </w:r>
      <w:r w:rsidRPr="5FEB26CB" w:rsidR="5A622208">
        <w:rPr>
          <w:rFonts w:eastAsia="" w:eastAsiaTheme="minorEastAsia"/>
          <w:lang w:eastAsia="en-US"/>
        </w:rPr>
        <w:t xml:space="preserve"> identified</w:t>
      </w:r>
      <w:r w:rsidRPr="5FEB26CB" w:rsidR="00F863D2">
        <w:rPr>
          <w:rFonts w:eastAsia="" w:eastAsiaTheme="minorEastAsia"/>
          <w:lang w:eastAsia="en-US"/>
        </w:rPr>
        <w:t xml:space="preserve"> capacity of housing l</w:t>
      </w:r>
      <w:r w:rsidRPr="5FEB26CB" w:rsidR="13597A7A">
        <w:rPr>
          <w:rFonts w:eastAsia="" w:eastAsiaTheme="minorEastAsia"/>
          <w:lang w:eastAsia="en-US"/>
        </w:rPr>
        <w:t>and</w:t>
      </w:r>
      <w:r w:rsidRPr="5FEB26CB" w:rsidR="00F863D2">
        <w:rPr>
          <w:rFonts w:eastAsia="" w:eastAsiaTheme="minorEastAsia"/>
          <w:lang w:eastAsia="en-US"/>
        </w:rPr>
        <w:t xml:space="preserve"> is below the identified housing need, and therefore a capacity-based housing </w:t>
      </w:r>
      <w:r w:rsidRPr="5FEB26CB" w:rsidR="512661E0">
        <w:rPr>
          <w:rFonts w:eastAsia="" w:eastAsiaTheme="minorEastAsia"/>
          <w:lang w:eastAsia="en-US"/>
        </w:rPr>
        <w:t xml:space="preserve">requirement </w:t>
      </w:r>
      <w:r w:rsidRPr="5FEB26CB" w:rsidR="00F863D2">
        <w:rPr>
          <w:rFonts w:eastAsia="" w:eastAsiaTheme="minorEastAsia"/>
          <w:lang w:eastAsia="en-US"/>
        </w:rPr>
        <w:t xml:space="preserve">has been set in Policy H1. </w:t>
      </w:r>
    </w:p>
    <w:p w:rsidR="0095264E" w:rsidP="50D5A4BB" w:rsidRDefault="006F0073" w14:paraId="328D2852" w14:textId="604090E3">
      <w:pPr>
        <w:pStyle w:val="ListParagraph"/>
        <w:spacing w:after="0"/>
        <w:contextualSpacing/>
        <w:rPr>
          <w:rFonts w:eastAsia="" w:eastAsiaTheme="minorEastAsia"/>
          <w:lang w:eastAsia="en-US"/>
        </w:rPr>
      </w:pPr>
      <w:r w:rsidRPr="50D5A4BB" w:rsidR="006F0073">
        <w:rPr>
          <w:rFonts w:eastAsia="" w:eastAsiaTheme="minorEastAsia"/>
          <w:lang w:eastAsia="en-US"/>
        </w:rPr>
        <w:t>One of the biggest issues facing residents in Oxford is the unaffordability of homes, to rent or to buy. Oxford is one of the least affordable places in the country. The high need for new housing in the city means that general market house prices are expensive both to buy and rent.</w:t>
      </w:r>
      <w:r w:rsidRPr="50D5A4BB" w:rsidR="0095264E">
        <w:rPr>
          <w:rFonts w:eastAsia="" w:eastAsiaTheme="minorEastAsia"/>
          <w:lang w:eastAsia="en-US"/>
        </w:rPr>
        <w:t xml:space="preserve"> Policy H2 </w:t>
      </w:r>
      <w:r w:rsidRPr="50D5A4BB" w:rsidR="0095264E">
        <w:rPr>
          <w:rFonts w:eastAsia="" w:eastAsiaTheme="minorEastAsia"/>
          <w:lang w:eastAsia="en-US"/>
        </w:rPr>
        <w:t xml:space="preserve">seeks</w:t>
      </w:r>
      <w:r w:rsidRPr="50D5A4BB" w:rsidR="0095264E">
        <w:rPr>
          <w:rFonts w:eastAsia="" w:eastAsiaTheme="minorEastAsia"/>
          <w:lang w:eastAsia="en-US"/>
        </w:rPr>
        <w:t xml:space="preserve"> to deliver affordable housing</w:t>
      </w:r>
      <w:r w:rsidRPr="50D5A4BB" w:rsidR="4C2F5755">
        <w:rPr>
          <w:rFonts w:eastAsia="" w:eastAsiaTheme="minorEastAsia"/>
          <w:lang w:eastAsia="en-US"/>
        </w:rPr>
        <w:t>. O</w:t>
      </w:r>
      <w:r w:rsidRPr="50D5A4BB" w:rsidR="0095264E">
        <w:rPr>
          <w:rFonts w:eastAsia="" w:eastAsiaTheme="minorEastAsia"/>
          <w:lang w:eastAsia="en-US"/>
        </w:rPr>
        <w:t xml:space="preserve">n large residential sites of 10 or more units a proportion of affordable housing units will be sought. In the case of student accommodation or retirement homes a financial contribution will be </w:t>
      </w:r>
      <w:r w:rsidRPr="50D5A4BB" w:rsidR="0095264E">
        <w:rPr>
          <w:rFonts w:eastAsia="" w:eastAsiaTheme="minorEastAsia"/>
          <w:lang w:eastAsia="en-US"/>
        </w:rPr>
        <w:t>sought</w:t>
      </w:r>
      <w:r w:rsidRPr="50D5A4BB" w:rsidR="0095264E">
        <w:rPr>
          <w:rFonts w:eastAsia="" w:eastAsiaTheme="minorEastAsia"/>
          <w:lang w:eastAsia="en-US"/>
        </w:rPr>
        <w:t xml:space="preserve"> instead. In Oxford, social rent (the most discounted form of affordable housing to rent) is the only </w:t>
      </w:r>
      <w:r w:rsidRPr="50D5A4BB" w:rsidR="0095264E">
        <w:rPr>
          <w:rFonts w:eastAsia="" w:eastAsiaTheme="minorEastAsia"/>
          <w:lang w:eastAsia="en-US"/>
        </w:rPr>
        <w:t>option</w:t>
      </w:r>
      <w:r w:rsidRPr="50D5A4BB" w:rsidR="0095264E">
        <w:rPr>
          <w:rFonts w:eastAsia="" w:eastAsiaTheme="minorEastAsia"/>
          <w:lang w:eastAsia="en-US"/>
        </w:rPr>
        <w:t xml:space="preserve"> for many people. Social rented housing is therefore the priority tenure of affordable housing in Oxford, and of the 40% affordable housing requirement on qualifying developments, the majority is expected to be social rented housing.</w:t>
      </w:r>
      <w:r w:rsidRPr="0095264E" w:rsidR="0095264E">
        <w:rPr>
          <w:rFonts w:cs="Arial"/>
          <w:sz w:val="22"/>
          <w:szCs w:val="22"/>
          <w:shd w:val="clear" w:color="auto" w:fill="FFFFFF"/>
        </w:rPr>
        <w:t xml:space="preserve"> </w:t>
      </w:r>
      <w:r w:rsidRPr="50D5A4BB" w:rsidR="0095264E">
        <w:rPr>
          <w:rFonts w:eastAsia="" w:eastAsiaTheme="minorEastAsia"/>
          <w:lang w:eastAsia="en-US"/>
        </w:rPr>
        <w:t xml:space="preserve">The </w:t>
      </w:r>
      <w:r w:rsidRPr="50D5A4BB" w:rsidR="0095264E">
        <w:rPr>
          <w:rFonts w:eastAsia="" w:eastAsiaTheme="minorEastAsia"/>
          <w:lang w:eastAsia="en-US"/>
        </w:rPr>
        <w:t>remainder</w:t>
      </w:r>
      <w:r w:rsidRPr="50D5A4BB" w:rsidR="0095264E">
        <w:rPr>
          <w:rFonts w:eastAsia="" w:eastAsiaTheme="minorEastAsia"/>
          <w:lang w:eastAsia="en-US"/>
        </w:rPr>
        <w:t xml:space="preserve"> may be </w:t>
      </w:r>
      <w:r w:rsidRPr="50D5A4BB" w:rsidR="0095264E">
        <w:rPr>
          <w:rFonts w:eastAsia="" w:eastAsiaTheme="minorEastAsia"/>
          <w:lang w:eastAsia="en-US"/>
        </w:rPr>
        <w:t>provided</w:t>
      </w:r>
      <w:r w:rsidRPr="50D5A4BB" w:rsidR="0095264E">
        <w:rPr>
          <w:rFonts w:eastAsia="" w:eastAsiaTheme="minorEastAsia"/>
          <w:lang w:eastAsia="en-US"/>
        </w:rPr>
        <w:t xml:space="preserve"> as intermediate forms of affordable housing.</w:t>
      </w:r>
      <w:r w:rsidRPr="50D5A4BB" w:rsidR="7000137A">
        <w:rPr>
          <w:rFonts w:eastAsia="" w:eastAsiaTheme="minorEastAsia"/>
          <w:lang w:eastAsia="en-US"/>
        </w:rPr>
        <w:t xml:space="preserve"> The current Oxford Local Plan (2036) requires 50% affordable housing. The whole-plan viability report </w:t>
      </w:r>
      <w:r w:rsidRPr="50D5A4BB" w:rsidR="7000137A">
        <w:rPr>
          <w:rFonts w:eastAsia="" w:eastAsiaTheme="minorEastAsia"/>
          <w:lang w:eastAsia="en-US"/>
        </w:rPr>
        <w:t xml:space="preserve">demonstrates</w:t>
      </w:r>
      <w:r w:rsidRPr="50D5A4BB" w:rsidR="7000137A">
        <w:rPr>
          <w:rFonts w:eastAsia="" w:eastAsiaTheme="minorEastAsia"/>
          <w:lang w:eastAsia="en-US"/>
        </w:rPr>
        <w:t xml:space="preserve"> that this would not be </w:t>
      </w:r>
      <w:r w:rsidRPr="50D5A4BB" w:rsidR="7000137A">
        <w:rPr>
          <w:rFonts w:eastAsia="" w:eastAsiaTheme="minorEastAsia"/>
          <w:lang w:eastAsia="en-US"/>
        </w:rPr>
        <w:t xml:space="preserve">viable</w:t>
      </w:r>
      <w:r w:rsidRPr="50D5A4BB" w:rsidR="7000137A">
        <w:rPr>
          <w:rFonts w:eastAsia="" w:eastAsiaTheme="minorEastAsia"/>
          <w:lang w:eastAsia="en-US"/>
        </w:rPr>
        <w:t xml:space="preserve"> for many developments. The requirement is </w:t>
      </w:r>
      <w:r w:rsidRPr="50D5A4BB" w:rsidR="4736EDF8">
        <w:rPr>
          <w:rFonts w:eastAsia="" w:eastAsiaTheme="minorEastAsia"/>
          <w:lang w:eastAsia="en-US"/>
        </w:rPr>
        <w:t xml:space="preserve">set at a level that should ensure </w:t>
      </w:r>
      <w:r w:rsidRPr="50D5A4BB" w:rsidR="4736EDF8">
        <w:rPr>
          <w:rFonts w:eastAsia="" w:eastAsiaTheme="minorEastAsia"/>
          <w:lang w:eastAsia="en-US"/>
        </w:rPr>
        <w:t>the majority of</w:t>
      </w:r>
      <w:r w:rsidRPr="50D5A4BB" w:rsidR="4736EDF8">
        <w:rPr>
          <w:rFonts w:eastAsia="" w:eastAsiaTheme="minorEastAsia"/>
          <w:lang w:eastAsia="en-US"/>
        </w:rPr>
        <w:t xml:space="preserve"> developments are </w:t>
      </w:r>
      <w:r w:rsidRPr="50D5A4BB" w:rsidR="4736EDF8">
        <w:rPr>
          <w:rFonts w:eastAsia="" w:eastAsiaTheme="minorEastAsia"/>
          <w:lang w:eastAsia="en-US"/>
        </w:rPr>
        <w:t>viable</w:t>
      </w:r>
      <w:r w:rsidRPr="50D5A4BB" w:rsidR="4736EDF8">
        <w:rPr>
          <w:rFonts w:eastAsia="" w:eastAsiaTheme="minorEastAsia"/>
          <w:lang w:eastAsia="en-US"/>
        </w:rPr>
        <w:t>, which will lim</w:t>
      </w:r>
      <w:r w:rsidRPr="50D5A4BB" w:rsidR="0DF76B45">
        <w:rPr>
          <w:rFonts w:eastAsia="" w:eastAsiaTheme="minorEastAsia"/>
          <w:lang w:eastAsia="en-US"/>
        </w:rPr>
        <w:t>it the amount of viability evidence that will need to be assessed at the planning application stage</w:t>
      </w:r>
      <w:r w:rsidRPr="50D5A4BB" w:rsidR="2638058D">
        <w:rPr>
          <w:rFonts w:eastAsia="" w:eastAsiaTheme="minorEastAsia"/>
          <w:lang w:eastAsia="en-US"/>
        </w:rPr>
        <w:t xml:space="preserve">. The policy requires 80% of affordable homes to be social rented. </w:t>
      </w:r>
    </w:p>
    <w:p w:rsidR="0095264E" w:rsidP="50D5A4BB" w:rsidRDefault="006F0073" w14:paraId="3429738B" w14:textId="20483A7E">
      <w:pPr>
        <w:pStyle w:val="Normal"/>
        <w:spacing w:after="0"/>
        <w:ind w:left="0"/>
        <w:contextualSpacing/>
        <w:rPr>
          <w:rFonts w:eastAsia="" w:eastAsiaTheme="minorEastAsia"/>
          <w:color w:val="000000" w:themeColor="text1" w:themeTint="FF" w:themeShade="FF"/>
          <w:sz w:val="24"/>
          <w:szCs w:val="24"/>
          <w:lang w:eastAsia="en-US"/>
        </w:rPr>
      </w:pPr>
    </w:p>
    <w:p w:rsidR="0095264E" w:rsidP="50D5A4BB" w:rsidRDefault="006F0073" w14:paraId="0064EA90" w14:textId="23B6DB3C">
      <w:pPr>
        <w:pStyle w:val="ListParagraph"/>
        <w:spacing w:after="0"/>
        <w:contextualSpacing/>
        <w:rPr>
          <w:rFonts w:eastAsia="" w:eastAsiaTheme="minorEastAsia"/>
          <w:lang w:eastAsia="en-US"/>
        </w:rPr>
      </w:pPr>
      <w:r w:rsidRPr="5FEB26CB" w:rsidR="2638058D">
        <w:rPr>
          <w:rFonts w:eastAsia="" w:eastAsiaTheme="minorEastAsia"/>
          <w:lang w:eastAsia="en-US"/>
        </w:rPr>
        <w:t>T</w:t>
      </w:r>
      <w:r w:rsidRPr="5FEB26CB" w:rsidR="2638058D">
        <w:rPr>
          <w:rFonts w:eastAsia="" w:eastAsiaTheme="minorEastAsia"/>
          <w:lang w:eastAsia="en-US"/>
        </w:rPr>
        <w:t>he policy does not set a requirement for</w:t>
      </w:r>
      <w:r w:rsidRPr="5FEB26CB" w:rsidR="0095264E">
        <w:rPr>
          <w:rFonts w:eastAsia="" w:eastAsiaTheme="minorEastAsia"/>
          <w:lang w:eastAsia="en-US"/>
        </w:rPr>
        <w:t xml:space="preserve"> First Home</w:t>
      </w:r>
      <w:r w:rsidRPr="5FEB26CB" w:rsidR="6ABF4F00">
        <w:rPr>
          <w:rFonts w:eastAsia="" w:eastAsiaTheme="minorEastAsia"/>
          <w:lang w:eastAsia="en-US"/>
        </w:rPr>
        <w:t>s</w:t>
      </w:r>
      <w:r w:rsidRPr="5FEB26CB" w:rsidR="0095264E">
        <w:rPr>
          <w:rFonts w:eastAsia="" w:eastAsiaTheme="minorEastAsia"/>
          <w:lang w:eastAsia="en-US"/>
        </w:rPr>
        <w:t>.</w:t>
      </w:r>
      <w:r w:rsidRPr="5FEB26CB" w:rsidR="032B840C">
        <w:rPr>
          <w:rFonts w:eastAsia="" w:eastAsiaTheme="minorEastAsia"/>
          <w:lang w:eastAsia="en-US"/>
        </w:rPr>
        <w:t xml:space="preserve"> </w:t>
      </w:r>
      <w:r w:rsidRPr="5FEB26CB" w:rsidR="032B840C">
        <w:rPr>
          <w:rFonts w:eastAsia="" w:eastAsiaTheme="minorEastAsia"/>
          <w:lang w:eastAsia="en-US"/>
        </w:rPr>
        <w:t xml:space="preserve">This is a </w:t>
      </w:r>
      <w:r w:rsidRPr="5FEB26CB" w:rsidR="032B840C">
        <w:rPr>
          <w:rFonts w:eastAsia="" w:eastAsiaTheme="minorEastAsia"/>
          <w:lang w:eastAsia="en-US"/>
        </w:rPr>
        <w:t>Government</w:t>
      </w:r>
      <w:r w:rsidRPr="5FEB26CB" w:rsidR="032B840C">
        <w:rPr>
          <w:rFonts w:eastAsia="" w:eastAsiaTheme="minorEastAsia"/>
          <w:lang w:eastAsia="en-US"/>
        </w:rPr>
        <w:t xml:space="preserve"> initia</w:t>
      </w:r>
      <w:r w:rsidRPr="5FEB26CB" w:rsidR="1FFF34C3">
        <w:rPr>
          <w:rFonts w:eastAsia="" w:eastAsiaTheme="minorEastAsia"/>
          <w:lang w:eastAsia="en-US"/>
        </w:rPr>
        <w:t>tive and the requirement overrides existing policies.</w:t>
      </w:r>
      <w:r w:rsidRPr="5FEB26CB" w:rsidR="00BD7C0A">
        <w:rPr>
          <w:rFonts w:eastAsia="" w:eastAsiaTheme="minorEastAsia"/>
          <w:lang w:eastAsia="en-US"/>
        </w:rPr>
        <w:t xml:space="preserve"> 25% of affordable homes should be First Homes, which means they are available to buy for first-time purchasers at a discounted rate and for no more than £250,000.</w:t>
      </w:r>
      <w:r w:rsidRPr="5FEB26CB" w:rsidR="1FFF34C3">
        <w:rPr>
          <w:rFonts w:eastAsia="" w:eastAsiaTheme="minorEastAsia"/>
          <w:lang w:eastAsia="en-US"/>
        </w:rPr>
        <w:t xml:space="preserve"> However, the approach does not work well in Oxford, given </w:t>
      </w:r>
      <w:r w:rsidRPr="5FEB26CB" w:rsidR="00BD7C0A">
        <w:rPr>
          <w:rFonts w:eastAsia="" w:eastAsiaTheme="minorEastAsia"/>
          <w:lang w:eastAsia="en-US"/>
        </w:rPr>
        <w:t>the city’s</w:t>
      </w:r>
      <w:r w:rsidRPr="5FEB26CB" w:rsidR="1FFF34C3">
        <w:rPr>
          <w:rFonts w:eastAsia="" w:eastAsiaTheme="minorEastAsia"/>
          <w:lang w:eastAsia="en-US"/>
        </w:rPr>
        <w:t xml:space="preserve"> affordability issues and profile of its sites.</w:t>
      </w:r>
      <w:r w:rsidRPr="5FEB26CB" w:rsidR="31295FC5">
        <w:rPr>
          <w:rFonts w:eastAsia="" w:eastAsiaTheme="minorEastAsia"/>
          <w:lang w:eastAsia="en-US"/>
        </w:rPr>
        <w:t xml:space="preserve"> The argument will be made through the examination process that First Homes should not be a requirement in Oxford. </w:t>
      </w:r>
    </w:p>
    <w:p w:rsidR="00F4790D" w:rsidP="00F4790D" w:rsidRDefault="00F4790D" w14:paraId="62486C05" w14:textId="77777777">
      <w:pPr>
        <w:pStyle w:val="bParagraphtext"/>
        <w:numPr>
          <w:ilvl w:val="0"/>
          <w:numId w:val="0"/>
        </w:numPr>
        <w:spacing w:after="0"/>
        <w:ind w:left="502"/>
        <w:contextualSpacing/>
        <w:rPr>
          <w:rFonts w:eastAsiaTheme="minorHAnsi"/>
          <w:lang w:eastAsia="en-US"/>
        </w:rPr>
      </w:pPr>
    </w:p>
    <w:p w:rsidR="00F4790D" w:rsidP="0EFAA4EA" w:rsidRDefault="00F4790D" w14:paraId="4519E3ED" w14:textId="2A74C837">
      <w:pPr>
        <w:pStyle w:val="bParagraphtext"/>
        <w:spacing w:after="0"/>
        <w:contextualSpacing/>
        <w:rPr>
          <w:rFonts w:eastAsiaTheme="minorEastAsia"/>
          <w:lang w:eastAsia="en-US"/>
        </w:rPr>
      </w:pPr>
      <w:r w:rsidRPr="5FEB26CB" w:rsidR="00F4790D">
        <w:rPr>
          <w:rFonts w:eastAsia="" w:eastAsiaTheme="minorEastAsia"/>
          <w:lang w:eastAsia="en-US"/>
        </w:rPr>
        <w:t xml:space="preserve">Policy H5 seeks to provide employer-linked housing which recognises the challenges that employers face in both recruiting and retaining staff in Oxford given the shortage of housing and its affordability. This acute staffing issue impacts on the operation and provision of key services such as schools and hospitals. Employer-linked housing involves the development of housing on </w:t>
      </w:r>
      <w:r w:rsidRPr="5FEB26CB" w:rsidR="00402837">
        <w:rPr>
          <w:rFonts w:eastAsia="" w:eastAsiaTheme="minorEastAsia"/>
          <w:lang w:eastAsia="en-US"/>
        </w:rPr>
        <w:t xml:space="preserve">their own </w:t>
      </w:r>
      <w:r w:rsidRPr="5FEB26CB" w:rsidR="00F4790D">
        <w:rPr>
          <w:rFonts w:eastAsia="" w:eastAsiaTheme="minorEastAsia"/>
          <w:lang w:eastAsia="en-US"/>
        </w:rPr>
        <w:t>specified sites, by specified key employers in the city to provide a means of delivering affordable housing for their own staff. For example</w:t>
      </w:r>
      <w:r w:rsidRPr="5FEB26CB" w:rsidR="26C714ED">
        <w:rPr>
          <w:rFonts w:eastAsia="" w:eastAsiaTheme="minorEastAsia"/>
          <w:lang w:eastAsia="en-US"/>
        </w:rPr>
        <w:t>,</w:t>
      </w:r>
      <w:r w:rsidRPr="5FEB26CB" w:rsidR="00F4790D">
        <w:rPr>
          <w:rFonts w:eastAsia="" w:eastAsiaTheme="minorEastAsia"/>
          <w:lang w:eastAsia="en-US"/>
        </w:rPr>
        <w:t xml:space="preserve"> the NHS provid</w:t>
      </w:r>
      <w:r w:rsidRPr="5FEB26CB" w:rsidR="00402837">
        <w:rPr>
          <w:rFonts w:eastAsia="" w:eastAsiaTheme="minorEastAsia"/>
          <w:lang w:eastAsia="en-US"/>
        </w:rPr>
        <w:t>e</w:t>
      </w:r>
      <w:r w:rsidRPr="5FEB26CB" w:rsidR="00F4790D">
        <w:rPr>
          <w:rFonts w:eastAsia="" w:eastAsiaTheme="minorEastAsia"/>
          <w:lang w:eastAsia="en-US"/>
        </w:rPr>
        <w:t xml:space="preserve"> staff accommodation within the hospital sites.</w:t>
      </w:r>
    </w:p>
    <w:p w:rsidR="00402837" w:rsidP="00402837" w:rsidRDefault="00402837" w14:paraId="4101652C" w14:textId="77777777">
      <w:pPr>
        <w:pStyle w:val="ListParagraph"/>
        <w:numPr>
          <w:ilvl w:val="0"/>
          <w:numId w:val="0"/>
        </w:numPr>
        <w:ind w:left="502"/>
        <w:rPr>
          <w:rFonts w:eastAsiaTheme="minorHAnsi"/>
          <w:lang w:eastAsia="en-US"/>
        </w:rPr>
      </w:pPr>
    </w:p>
    <w:p w:rsidR="00402837" w:rsidP="7EB229EA" w:rsidRDefault="00402837" w14:paraId="1F1E9171" w14:textId="2AE47D52">
      <w:pPr>
        <w:pStyle w:val="bParagraphtext"/>
        <w:spacing w:after="0"/>
        <w:contextualSpacing/>
        <w:rPr>
          <w:rFonts w:eastAsia="" w:eastAsiaTheme="minorEastAsia"/>
          <w:lang w:eastAsia="en-US"/>
        </w:rPr>
      </w:pPr>
      <w:r w:rsidRPr="5FEB26CB" w:rsidR="00402837">
        <w:rPr>
          <w:rFonts w:eastAsia="" w:eastAsiaTheme="minorEastAsia"/>
          <w:lang w:eastAsia="en-US"/>
        </w:rPr>
        <w:t xml:space="preserve">The </w:t>
      </w:r>
      <w:r w:rsidRPr="5FEB26CB" w:rsidR="00402837">
        <w:rPr>
          <w:rFonts w:eastAsia="" w:eastAsiaTheme="minorEastAsia"/>
          <w:lang w:eastAsia="en-US"/>
        </w:rPr>
        <w:t>large number</w:t>
      </w:r>
      <w:r w:rsidRPr="5FEB26CB" w:rsidR="00402837">
        <w:rPr>
          <w:rFonts w:eastAsia="" w:eastAsiaTheme="minorEastAsia"/>
          <w:lang w:eastAsia="en-US"/>
        </w:rPr>
        <w:t xml:space="preserve"> of students resident in Oxford has an impact on the availability of general market housing. </w:t>
      </w:r>
      <w:r w:rsidRPr="5FEB26CB" w:rsidR="004F48B2">
        <w:rPr>
          <w:rFonts w:eastAsia="" w:eastAsiaTheme="minorEastAsia"/>
          <w:lang w:eastAsia="en-US"/>
        </w:rPr>
        <w:t xml:space="preserve">Policy H9 aims to ensure new student accommodation is built only in suitable locations and is limited to those on courses of a year or more who are receiving the greatest and longest-term educational benefit. It prioritises students of the two universities to </w:t>
      </w:r>
      <w:r w:rsidRPr="5FEB26CB" w:rsidR="004F48B2">
        <w:rPr>
          <w:rFonts w:eastAsia="" w:eastAsiaTheme="minorEastAsia"/>
          <w:lang w:eastAsia="en-US"/>
        </w:rPr>
        <w:t>assist</w:t>
      </w:r>
      <w:r w:rsidRPr="5FEB26CB" w:rsidR="004F48B2">
        <w:rPr>
          <w:rFonts w:eastAsia="" w:eastAsiaTheme="minorEastAsia"/>
          <w:lang w:eastAsia="en-US"/>
        </w:rPr>
        <w:t xml:space="preserve"> with the economic aims of the Plan in supporting the universities.</w:t>
      </w:r>
      <w:r w:rsidRPr="5FEB26CB" w:rsidR="7B04C56B">
        <w:rPr>
          <w:rFonts w:eastAsia="" w:eastAsiaTheme="minorEastAsia"/>
          <w:lang w:eastAsia="en-US"/>
        </w:rPr>
        <w:t xml:space="preserve"> </w:t>
      </w:r>
      <w:r w:rsidRPr="5FEB26CB" w:rsidR="7B04C56B">
        <w:rPr>
          <w:rFonts w:eastAsia="" w:eastAsiaTheme="minorEastAsia"/>
          <w:lang w:eastAsia="en-US"/>
        </w:rPr>
        <w:t xml:space="preserve">Policy H10 ensures that where new academic and teaching facilities are proposed that support </w:t>
      </w:r>
      <w:r w:rsidRPr="5FEB26CB" w:rsidR="7B04C56B">
        <w:rPr>
          <w:rFonts w:eastAsia="" w:eastAsiaTheme="minorEastAsia"/>
          <w:lang w:eastAsia="en-US"/>
        </w:rPr>
        <w:t>additional</w:t>
      </w:r>
      <w:r w:rsidRPr="5FEB26CB" w:rsidR="7B04C56B">
        <w:rPr>
          <w:rFonts w:eastAsia="" w:eastAsiaTheme="minorEastAsia"/>
          <w:lang w:eastAsia="en-US"/>
        </w:rPr>
        <w:t xml:space="preserve"> students, that these students’</w:t>
      </w:r>
      <w:r w:rsidRPr="5FEB26CB" w:rsidR="016B5BD0">
        <w:rPr>
          <w:rFonts w:eastAsia="" w:eastAsiaTheme="minorEastAsia"/>
          <w:lang w:eastAsia="en-US"/>
        </w:rPr>
        <w:t xml:space="preserve"> accommodation needs can be met. In the case of the universities this will be measured by the set threshold of students living outside</w:t>
      </w:r>
      <w:r w:rsidRPr="5FEB26CB" w:rsidR="56780F5E">
        <w:rPr>
          <w:rFonts w:eastAsia="" w:eastAsiaTheme="minorEastAsia"/>
          <w:lang w:eastAsia="en-US"/>
        </w:rPr>
        <w:t xml:space="preserve"> of university accommodation such as student halls.</w:t>
      </w:r>
      <w:r w:rsidRPr="5FEB26CB" w:rsidR="56780F5E">
        <w:rPr>
          <w:rFonts w:eastAsia="" w:eastAsiaTheme="minorEastAsia"/>
          <w:lang w:eastAsia="en-US"/>
        </w:rPr>
        <w:t xml:space="preserve"> </w:t>
      </w:r>
    </w:p>
    <w:p w:rsidR="00524B3D" w:rsidP="00F7701D" w:rsidRDefault="00524B3D" w14:paraId="4B99056E" w14:textId="77777777">
      <w:pPr>
        <w:pStyle w:val="Heading1"/>
        <w:spacing w:before="0" w:after="0"/>
        <w:contextualSpacing/>
        <w:rPr>
          <w:rFonts w:eastAsiaTheme="minorHAnsi"/>
          <w:b w:val="0"/>
          <w:i/>
          <w:lang w:eastAsia="en-US"/>
        </w:rPr>
      </w:pPr>
    </w:p>
    <w:p w:rsidR="00524B3D" w:rsidP="00F7701D" w:rsidRDefault="00524B3D" w14:paraId="1299C43A" w14:textId="77777777">
      <w:pPr>
        <w:pStyle w:val="Heading1"/>
        <w:spacing w:before="0" w:after="0"/>
        <w:contextualSpacing/>
        <w:rPr>
          <w:rFonts w:eastAsiaTheme="minorHAnsi"/>
          <w:b w:val="0"/>
          <w:i/>
          <w:lang w:eastAsia="en-US"/>
        </w:rPr>
      </w:pPr>
    </w:p>
    <w:p w:rsidRPr="007B0EF5" w:rsidR="00F7701D" w:rsidP="00F7701D" w:rsidRDefault="007B0EF5" w14:paraId="7968AC38" w14:textId="77777777">
      <w:pPr>
        <w:pStyle w:val="Heading1"/>
        <w:spacing w:before="0" w:after="0"/>
        <w:contextualSpacing/>
        <w:rPr>
          <w:i/>
        </w:rPr>
      </w:pPr>
      <w:r w:rsidRPr="007B0EF5">
        <w:rPr>
          <w:rFonts w:eastAsiaTheme="minorHAnsi"/>
          <w:i/>
          <w:lang w:eastAsia="en-US"/>
        </w:rPr>
        <w:t xml:space="preserve">A prosperous city with a globally important role in </w:t>
      </w:r>
      <w:r>
        <w:rPr>
          <w:rFonts w:eastAsiaTheme="minorHAnsi"/>
          <w:i/>
          <w:lang w:eastAsia="en-US"/>
        </w:rPr>
        <w:t xml:space="preserve">learning, knowledge and innovation </w:t>
      </w:r>
    </w:p>
    <w:p w:rsidRPr="00014E23" w:rsidR="004C7AE1" w:rsidP="00CC60CB" w:rsidRDefault="004C7AE1" w14:paraId="4DDBEF00" w14:textId="77777777">
      <w:pPr>
        <w:pStyle w:val="Heading1"/>
        <w:spacing w:before="0" w:after="0"/>
        <w:contextualSpacing/>
        <w:rPr>
          <w:b w:val="0"/>
          <w:i/>
        </w:rPr>
      </w:pPr>
    </w:p>
    <w:p w:rsidRPr="000E76D4" w:rsidR="000E76D4" w:rsidP="547EA015" w:rsidRDefault="008F6AFB" w14:paraId="5FFA86B3" w14:textId="540ADC87">
      <w:pPr>
        <w:pStyle w:val="ListParagraph"/>
        <w:rPr>
          <w:rFonts w:cs="Arial"/>
          <w:lang w:eastAsia="en-US"/>
        </w:rPr>
      </w:pPr>
      <w:r w:rsidRPr="5FEB26CB" w:rsidR="008F6AFB">
        <w:rPr>
          <w:rFonts w:cs="Arial"/>
        </w:rPr>
        <w:t xml:space="preserve">Chapter 3 is concerned with Oxford’s economy. </w:t>
      </w:r>
      <w:r w:rsidRPr="5FEB26CB" w:rsidR="000E76D4">
        <w:rPr>
          <w:rFonts w:cs="Arial"/>
        </w:rPr>
        <w:t>Policy E1</w:t>
      </w:r>
      <w:r w:rsidRPr="5FEB26CB" w:rsidR="008F6AFB">
        <w:rPr>
          <w:rFonts w:cs="Arial"/>
        </w:rPr>
        <w:t xml:space="preserve"> encourages the intensification and modernisation of key employment sites within the city and recognises the important role played by category 1 (national and regional) sites </w:t>
      </w:r>
      <w:r w:rsidRPr="5FEB26CB" w:rsidR="000E76D4">
        <w:rPr>
          <w:rFonts w:cs="Arial"/>
        </w:rPr>
        <w:t xml:space="preserve">in contributing significantly to </w:t>
      </w:r>
      <w:r w:rsidRPr="5FEB26CB" w:rsidR="008F6AFB">
        <w:rPr>
          <w:rFonts w:cs="Arial"/>
        </w:rPr>
        <w:t xml:space="preserve">the national and regional economy. </w:t>
      </w:r>
      <w:r w:rsidRPr="5FEB26CB" w:rsidR="000E76D4">
        <w:rPr>
          <w:rFonts w:cs="Arial"/>
        </w:rPr>
        <w:t xml:space="preserve">Category 2 (local) sites are well performing and provide key supporting services for Oxford’s economy to function properly. Category 3 employment sites mainly comprise smaller, poorly located sites that do not perform such an important economic function or are likely to be able to </w:t>
      </w:r>
      <w:r w:rsidRPr="5FEB26CB" w:rsidR="00F14B65">
        <w:rPr>
          <w:rFonts w:cs="Arial"/>
        </w:rPr>
        <w:t xml:space="preserve">do so </w:t>
      </w:r>
      <w:r w:rsidRPr="5FEB26CB" w:rsidR="000E76D4">
        <w:rPr>
          <w:rFonts w:cs="Arial"/>
        </w:rPr>
        <w:t xml:space="preserve">in the future. </w:t>
      </w:r>
      <w:r w:rsidRPr="5FEB26CB" w:rsidR="00801F2C">
        <w:rPr>
          <w:rFonts w:cs="Arial"/>
        </w:rPr>
        <w:t>The policy approach supports sustainable development and seeks to make the best and most efficient use of existing employment sites but d</w:t>
      </w:r>
      <w:r w:rsidRPr="5FEB26CB" w:rsidR="0E2F0AEB">
        <w:rPr>
          <w:rFonts w:cs="Arial"/>
        </w:rPr>
        <w:t xml:space="preserve">oes not allow for </w:t>
      </w:r>
      <w:r w:rsidRPr="5FEB26CB" w:rsidR="00801F2C">
        <w:rPr>
          <w:rFonts w:cs="Arial"/>
        </w:rPr>
        <w:t>new employment site</w:t>
      </w:r>
      <w:r w:rsidRPr="5FEB26CB" w:rsidR="6C02F83A">
        <w:rPr>
          <w:rFonts w:cs="Arial"/>
        </w:rPr>
        <w:t>s except in the city centre and district centres where there is expected to be a range of uses</w:t>
      </w:r>
      <w:r w:rsidRPr="5FEB26CB" w:rsidR="00801F2C">
        <w:rPr>
          <w:rFonts w:cs="Arial"/>
        </w:rPr>
        <w:t xml:space="preserve">. </w:t>
      </w:r>
    </w:p>
    <w:p w:rsidRPr="00D50ABE" w:rsidR="00F14B65" w:rsidP="547EA015" w:rsidRDefault="00F14B65" w14:paraId="6D3102DF" w14:textId="043BB97E">
      <w:pPr>
        <w:pStyle w:val="ListParagraph"/>
        <w:rPr>
          <w:rFonts w:cs="Arial" w:eastAsiaTheme="minorEastAsia"/>
          <w:b/>
          <w:bCs/>
          <w:i/>
          <w:iCs/>
          <w:lang w:eastAsia="en-US"/>
        </w:rPr>
      </w:pPr>
      <w:r w:rsidRPr="5FEB26CB" w:rsidR="00F14B65">
        <w:rPr>
          <w:rFonts w:cs="Arial"/>
        </w:rPr>
        <w:t>In recognition of the acute housing shortage in the city t</w:t>
      </w:r>
      <w:r w:rsidRPr="5FEB26CB" w:rsidR="000E76D4">
        <w:rPr>
          <w:rFonts w:cs="Arial"/>
        </w:rPr>
        <w:t xml:space="preserve">he new </w:t>
      </w:r>
      <w:r w:rsidRPr="5FEB26CB" w:rsidR="00F14B65">
        <w:rPr>
          <w:rFonts w:cs="Arial"/>
        </w:rPr>
        <w:t>e</w:t>
      </w:r>
      <w:r w:rsidRPr="5FEB26CB" w:rsidR="000E76D4">
        <w:rPr>
          <w:rFonts w:cs="Arial"/>
        </w:rPr>
        <w:t xml:space="preserve">mployment </w:t>
      </w:r>
      <w:r w:rsidRPr="5FEB26CB" w:rsidR="00F14B65">
        <w:rPr>
          <w:rFonts w:cs="Arial"/>
        </w:rPr>
        <w:t>s</w:t>
      </w:r>
      <w:r w:rsidRPr="5FEB26CB" w:rsidR="000E76D4">
        <w:rPr>
          <w:rFonts w:cs="Arial"/>
        </w:rPr>
        <w:t xml:space="preserve">trategy approach makes it clear that </w:t>
      </w:r>
      <w:r w:rsidRPr="5FEB26CB" w:rsidR="00F14B65">
        <w:rPr>
          <w:rFonts w:cs="Arial"/>
        </w:rPr>
        <w:t xml:space="preserve">an element of </w:t>
      </w:r>
      <w:r w:rsidRPr="5FEB26CB" w:rsidR="000E76D4">
        <w:rPr>
          <w:rFonts w:cs="Arial"/>
        </w:rPr>
        <w:t xml:space="preserve">residential development </w:t>
      </w:r>
      <w:r w:rsidRPr="5FEB26CB" w:rsidR="00F14B65">
        <w:rPr>
          <w:rFonts w:cs="Arial"/>
        </w:rPr>
        <w:t xml:space="preserve">will </w:t>
      </w:r>
      <w:r w:rsidRPr="5FEB26CB" w:rsidR="000E76D4">
        <w:rPr>
          <w:rFonts w:cs="Arial"/>
        </w:rPr>
        <w:t>in principle be supported</w:t>
      </w:r>
      <w:r w:rsidRPr="5FEB26CB" w:rsidR="00F14B65">
        <w:rPr>
          <w:rFonts w:cs="Arial"/>
        </w:rPr>
        <w:t xml:space="preserve"> </w:t>
      </w:r>
      <w:r w:rsidRPr="5FEB26CB" w:rsidR="000E76D4">
        <w:rPr>
          <w:rFonts w:cs="Arial"/>
        </w:rPr>
        <w:t xml:space="preserve">on employment </w:t>
      </w:r>
      <w:r w:rsidRPr="5FEB26CB" w:rsidR="000E76D4">
        <w:rPr>
          <w:rFonts w:cs="Arial"/>
        </w:rPr>
        <w:t>sites</w:t>
      </w:r>
      <w:r w:rsidRPr="5FEB26CB" w:rsidR="00F14B65">
        <w:rPr>
          <w:rFonts w:cs="Arial"/>
        </w:rPr>
        <w:t>.</w:t>
      </w:r>
      <w:r w:rsidRPr="5FEB26CB" w:rsidR="000E76D4">
        <w:rPr>
          <w:rFonts w:cs="Arial"/>
        </w:rPr>
        <w:t xml:space="preserve"> </w:t>
      </w:r>
      <w:r w:rsidRPr="5FEB26CB" w:rsidR="00F14B65">
        <w:rPr>
          <w:rFonts w:cs="Arial"/>
        </w:rPr>
        <w:t>This</w:t>
      </w:r>
      <w:r w:rsidRPr="5FEB26CB" w:rsidR="000E76D4">
        <w:rPr>
          <w:rFonts w:cs="Arial"/>
        </w:rPr>
        <w:t xml:space="preserve"> includes both category 1 and 2 sites</w:t>
      </w:r>
      <w:r w:rsidRPr="5FEB26CB" w:rsidR="00F14B65">
        <w:rPr>
          <w:rFonts w:cs="Arial"/>
        </w:rPr>
        <w:t xml:space="preserve"> where this would not prejudice the site’s present or future continued use as an employment site and would result in well-located, and well-designed homes being provided.</w:t>
      </w:r>
      <w:r w:rsidRPr="5FEB26CB" w:rsidR="000E76D4">
        <w:rPr>
          <w:rFonts w:cs="Arial"/>
        </w:rPr>
        <w:t xml:space="preserve"> </w:t>
      </w:r>
      <w:r w:rsidRPr="5FEB26CB" w:rsidR="00F14B65">
        <w:rPr>
          <w:rFonts w:cs="Arial"/>
        </w:rPr>
        <w:t>In addition</w:t>
      </w:r>
      <w:r w:rsidRPr="5FEB26CB" w:rsidR="306557F8">
        <w:rPr>
          <w:rFonts w:cs="Arial"/>
        </w:rPr>
        <w:t>,</w:t>
      </w:r>
      <w:r w:rsidRPr="5FEB26CB" w:rsidR="00F14B65">
        <w:rPr>
          <w:rFonts w:cs="Arial"/>
        </w:rPr>
        <w:t xml:space="preserve"> </w:t>
      </w:r>
      <w:r w:rsidRPr="5FEB26CB" w:rsidR="000E76D4">
        <w:rPr>
          <w:rFonts w:cs="Arial"/>
        </w:rPr>
        <w:t xml:space="preserve">Category 3 sites </w:t>
      </w:r>
      <w:r w:rsidRPr="5FEB26CB" w:rsidR="00F14B65">
        <w:rPr>
          <w:rFonts w:cs="Arial"/>
        </w:rPr>
        <w:t>would be allowed in principle to change their use and</w:t>
      </w:r>
      <w:r w:rsidRPr="5FEB26CB" w:rsidR="23F075C3">
        <w:rPr>
          <w:rFonts w:cs="Arial"/>
        </w:rPr>
        <w:t>/</w:t>
      </w:r>
      <w:r w:rsidRPr="5FEB26CB" w:rsidR="00F14B65">
        <w:rPr>
          <w:rFonts w:cs="Arial"/>
        </w:rPr>
        <w:t xml:space="preserve">or be redeveloped for residential </w:t>
      </w:r>
      <w:r w:rsidRPr="5FEB26CB" w:rsidR="00B17B67">
        <w:rPr>
          <w:rFonts w:cs="Arial"/>
        </w:rPr>
        <w:t xml:space="preserve">development </w:t>
      </w:r>
      <w:r w:rsidRPr="5FEB26CB" w:rsidR="00F14B65">
        <w:rPr>
          <w:rFonts w:cs="Arial"/>
        </w:rPr>
        <w:t>subject to criteria</w:t>
      </w:r>
      <w:r w:rsidRPr="5FEB26CB" w:rsidR="00801F2C">
        <w:rPr>
          <w:rFonts w:cs="Arial"/>
        </w:rPr>
        <w:t xml:space="preserve"> to ensure that Oxford maximises the delivery of homes within the city</w:t>
      </w:r>
      <w:r w:rsidRPr="5FEB26CB" w:rsidR="2A82F3B6">
        <w:rPr>
          <w:rFonts w:cs="Arial"/>
        </w:rPr>
        <w:t xml:space="preserve"> and that homes are appropriate on the site</w:t>
      </w:r>
      <w:r w:rsidRPr="5FEB26CB" w:rsidR="00801F2C">
        <w:rPr>
          <w:rFonts w:cs="Arial"/>
        </w:rPr>
        <w:t xml:space="preserve">. </w:t>
      </w:r>
      <w:r w:rsidRPr="5FEB26CB" w:rsidR="00F14B65">
        <w:rPr>
          <w:rFonts w:cs="Arial"/>
        </w:rPr>
        <w:t xml:space="preserve"> </w:t>
      </w:r>
      <w:r w:rsidRPr="5FEB26CB" w:rsidR="00801F2C">
        <w:rPr>
          <w:rFonts w:cs="Arial"/>
        </w:rPr>
        <w:t> </w:t>
      </w:r>
    </w:p>
    <w:p w:rsidRPr="00D50ABE" w:rsidR="00D50ABE" w:rsidP="24B25987" w:rsidRDefault="00D50ABE" w14:paraId="53B846CD" w14:textId="77777777">
      <w:pPr>
        <w:pStyle w:val="ListParagraph"/>
        <w:rPr>
          <w:rFonts w:cs="Arial" w:eastAsiaTheme="minorEastAsia"/>
          <w:b/>
          <w:bCs/>
          <w:i/>
          <w:iCs/>
          <w:lang w:eastAsia="en-US"/>
        </w:rPr>
      </w:pPr>
      <w:r w:rsidRPr="5FEB26CB" w:rsidR="00D50ABE">
        <w:rPr>
          <w:rFonts w:eastAsia="" w:cs="Arial" w:eastAsiaTheme="minorEastAsia"/>
          <w:lang w:eastAsia="en-US"/>
        </w:rPr>
        <w:t xml:space="preserve">The Employment Land Needs Assessment (ELNA) Update for Oxford prepared by Lichfields states that some 296,000 sqm of employment floorspace is required to meet the city’s </w:t>
      </w:r>
      <w:r w:rsidRPr="5FEB26CB" w:rsidR="000360F7">
        <w:rPr>
          <w:rFonts w:eastAsia="" w:cs="Arial" w:eastAsiaTheme="minorEastAsia"/>
          <w:lang w:eastAsia="en-US"/>
        </w:rPr>
        <w:t xml:space="preserve">employment </w:t>
      </w:r>
      <w:r w:rsidRPr="5FEB26CB" w:rsidR="00D50ABE">
        <w:rPr>
          <w:rFonts w:eastAsia="" w:cs="Arial" w:eastAsiaTheme="minorEastAsia"/>
          <w:lang w:eastAsia="en-US"/>
        </w:rPr>
        <w:t xml:space="preserve">needs over the plan period. </w:t>
      </w:r>
      <w:r w:rsidRPr="5FEB26CB" w:rsidR="00D50ABE">
        <w:rPr>
          <w:rFonts w:cs="Arial"/>
          <w:lang w:val="en-US"/>
        </w:rPr>
        <w:t xml:space="preserve">A high proportion of this need is attributed to office; research and development; and laboratory space which reflects the market demand profile for the city and </w:t>
      </w:r>
      <w:r w:rsidRPr="5FEB26CB" w:rsidR="00B17B67">
        <w:rPr>
          <w:rFonts w:cs="Arial"/>
          <w:lang w:val="en-US"/>
        </w:rPr>
        <w:t xml:space="preserve">to </w:t>
      </w:r>
      <w:r w:rsidRPr="5FEB26CB" w:rsidR="00D50ABE">
        <w:rPr>
          <w:rFonts w:cs="Arial"/>
          <w:lang w:val="en-US"/>
        </w:rPr>
        <w:t>build on Oxford’s key economic strengths.</w:t>
      </w:r>
    </w:p>
    <w:p w:rsidRPr="00F73E27" w:rsidR="00D50ABE" w:rsidP="22F9550C" w:rsidRDefault="00D50ABE" w14:paraId="334A0A63" w14:textId="173745BF">
      <w:pPr>
        <w:pStyle w:val="ListParagraph"/>
        <w:rPr>
          <w:rFonts w:cs="Arial" w:eastAsiaTheme="minorEastAsia"/>
          <w:b/>
          <w:bCs/>
          <w:i/>
          <w:iCs/>
          <w:lang w:eastAsia="en-US"/>
        </w:rPr>
      </w:pPr>
      <w:r w:rsidRPr="5FEB26CB" w:rsidR="00D50ABE">
        <w:rPr>
          <w:rFonts w:eastAsia="" w:cs="Arial" w:eastAsiaTheme="minorEastAsia"/>
          <w:lang w:eastAsia="en-US"/>
        </w:rPr>
        <w:t xml:space="preserve">Warehousing and storage uses can play an important role in the operation of some key employers and contribute to the supply chain. However generally they do </w:t>
      </w:r>
      <w:r w:rsidRPr="5FEB26CB" w:rsidR="00B17B67">
        <w:rPr>
          <w:rFonts w:eastAsia="" w:cs="Arial" w:eastAsiaTheme="minorEastAsia"/>
          <w:lang w:eastAsia="en-US"/>
        </w:rPr>
        <w:t>occupy</w:t>
      </w:r>
      <w:r w:rsidRPr="5FEB26CB" w:rsidR="00D50ABE">
        <w:rPr>
          <w:rFonts w:eastAsia="" w:cs="Arial" w:eastAsiaTheme="minorEastAsia"/>
          <w:lang w:eastAsia="en-US"/>
        </w:rPr>
        <w:t xml:space="preserve"> a considerable </w:t>
      </w:r>
      <w:r w:rsidRPr="5FEB26CB" w:rsidR="000360F7">
        <w:rPr>
          <w:rFonts w:eastAsia="" w:cs="Arial" w:eastAsiaTheme="minorEastAsia"/>
          <w:lang w:eastAsia="en-US"/>
        </w:rPr>
        <w:t>land</w:t>
      </w:r>
      <w:r w:rsidRPr="5FEB26CB" w:rsidR="00D50ABE">
        <w:rPr>
          <w:rFonts w:eastAsia="" w:cs="Arial" w:eastAsiaTheme="minorEastAsia"/>
          <w:lang w:eastAsia="en-US"/>
        </w:rPr>
        <w:t xml:space="preserve"> area</w:t>
      </w:r>
      <w:r w:rsidRPr="5FEB26CB" w:rsidR="00B17B67">
        <w:rPr>
          <w:rFonts w:eastAsia="" w:cs="Arial" w:eastAsiaTheme="minorEastAsia"/>
          <w:lang w:eastAsia="en-US"/>
        </w:rPr>
        <w:t>,</w:t>
      </w:r>
      <w:r w:rsidRPr="5FEB26CB" w:rsidR="00D50ABE">
        <w:rPr>
          <w:rFonts w:eastAsia="" w:cs="Arial" w:eastAsiaTheme="minorEastAsia"/>
          <w:lang w:eastAsia="en-US"/>
        </w:rPr>
        <w:t xml:space="preserve"> do not generate </w:t>
      </w:r>
      <w:r w:rsidRPr="5FEB26CB" w:rsidR="000360F7">
        <w:rPr>
          <w:rFonts w:eastAsia="" w:cs="Arial" w:eastAsiaTheme="minorEastAsia"/>
          <w:lang w:eastAsia="en-US"/>
        </w:rPr>
        <w:t xml:space="preserve">many </w:t>
      </w:r>
      <w:r w:rsidRPr="5FEB26CB" w:rsidR="00D50ABE">
        <w:rPr>
          <w:rFonts w:eastAsia="" w:cs="Arial" w:eastAsiaTheme="minorEastAsia"/>
          <w:lang w:eastAsia="en-US"/>
        </w:rPr>
        <w:t>jobs</w:t>
      </w:r>
      <w:r w:rsidRPr="5FEB26CB" w:rsidR="00B17B67">
        <w:rPr>
          <w:rFonts w:eastAsia="" w:cs="Arial" w:eastAsiaTheme="minorEastAsia"/>
          <w:lang w:eastAsia="en-US"/>
        </w:rPr>
        <w:t xml:space="preserve"> and compete for a limited supply of land.</w:t>
      </w:r>
      <w:r w:rsidRPr="5FEB26CB" w:rsidR="00D50ABE">
        <w:rPr>
          <w:rFonts w:eastAsia="" w:cs="Arial" w:eastAsiaTheme="minorEastAsia"/>
          <w:lang w:eastAsia="en-US"/>
        </w:rPr>
        <w:t xml:space="preserve"> So in these circumstances Policy E2 will only support new and or expanded warehouse uses </w:t>
      </w:r>
      <w:r w:rsidRPr="5FEB26CB" w:rsidR="187F3977">
        <w:rPr>
          <w:rFonts w:eastAsia="" w:cs="Arial" w:eastAsiaTheme="minorEastAsia"/>
          <w:lang w:eastAsia="en-US"/>
        </w:rPr>
        <w:t xml:space="preserve">on existing employment sites </w:t>
      </w:r>
      <w:r w:rsidRPr="5FEB26CB" w:rsidR="00D50ABE">
        <w:rPr>
          <w:rFonts w:eastAsia="" w:cs="Arial" w:eastAsiaTheme="minorEastAsia"/>
          <w:lang w:eastAsia="en-US"/>
        </w:rPr>
        <w:t xml:space="preserve">where it can be shown that they are required for operational reasons by a Category 1 </w:t>
      </w:r>
      <w:r w:rsidRPr="5FEB26CB" w:rsidR="00F73E27">
        <w:rPr>
          <w:rFonts w:eastAsia="" w:cs="Arial" w:eastAsiaTheme="minorEastAsia"/>
          <w:lang w:eastAsia="en-US"/>
        </w:rPr>
        <w:t xml:space="preserve">employment </w:t>
      </w:r>
      <w:r w:rsidRPr="5FEB26CB" w:rsidR="00D50ABE">
        <w:rPr>
          <w:rFonts w:eastAsia="" w:cs="Arial" w:eastAsiaTheme="minorEastAsia"/>
          <w:lang w:eastAsia="en-US"/>
        </w:rPr>
        <w:t xml:space="preserve">site.  </w:t>
      </w:r>
    </w:p>
    <w:p w:rsidRPr="0061302C" w:rsidR="0061302C" w:rsidP="0E19B814" w:rsidRDefault="00F73E27" w14:paraId="4DA5F874" w14:textId="583B3FBA">
      <w:pPr>
        <w:pStyle w:val="ListParagraph"/>
        <w:rPr>
          <w:rFonts w:eastAsia="" w:cs="Arial" w:eastAsiaTheme="minorEastAsia"/>
          <w:lang w:eastAsia="en-US"/>
        </w:rPr>
      </w:pPr>
      <w:r w:rsidRPr="5FEB26CB" w:rsidR="00F73E27">
        <w:rPr>
          <w:rFonts w:eastAsia="" w:cs="Arial" w:eastAsiaTheme="minorEastAsia"/>
          <w:lang w:eastAsia="en-US"/>
        </w:rPr>
        <w:t>The Oxford Economic Strategy includes a policy which promotes ‘an inclusive economy’</w:t>
      </w:r>
      <w:r w:rsidRPr="5FEB26CB" w:rsidR="08C64BA7">
        <w:rPr>
          <w:rFonts w:eastAsia="" w:cs="Arial" w:eastAsiaTheme="minorEastAsia"/>
          <w:lang w:eastAsia="en-US"/>
        </w:rPr>
        <w:t xml:space="preserve"> which can include the delivery of affordable workspace</w:t>
      </w:r>
      <w:r w:rsidRPr="5FEB26CB" w:rsidR="08C64BA7">
        <w:rPr>
          <w:rFonts w:eastAsia="" w:cs="Arial" w:eastAsiaTheme="minorEastAsia"/>
          <w:lang w:eastAsia="en-US"/>
        </w:rPr>
        <w:t xml:space="preserve">.  </w:t>
      </w:r>
      <w:r w:rsidRPr="5FEB26CB" w:rsidR="00F73E27">
        <w:rPr>
          <w:rFonts w:eastAsia="" w:cs="Arial" w:eastAsiaTheme="minorEastAsia"/>
          <w:lang w:eastAsia="en-US"/>
        </w:rPr>
        <w:t xml:space="preserve"> </w:t>
      </w:r>
      <w:r w:rsidRPr="5FEB26CB" w:rsidR="7B781B03">
        <w:rPr>
          <w:rFonts w:eastAsia="" w:cs="Arial" w:eastAsiaTheme="minorEastAsia"/>
          <w:lang w:eastAsia="en-US"/>
        </w:rPr>
        <w:t xml:space="preserve">To that end the Policy E3 </w:t>
      </w:r>
      <w:r w:rsidRPr="5FEB26CB" w:rsidR="53A1F04D">
        <w:rPr>
          <w:rFonts w:eastAsia="" w:cs="Arial" w:eastAsiaTheme="minorEastAsia"/>
          <w:lang w:eastAsia="en-US"/>
        </w:rPr>
        <w:t>requires that</w:t>
      </w:r>
      <w:r w:rsidRPr="5FEB26CB" w:rsidR="4665FADB">
        <w:rPr>
          <w:rFonts w:eastAsia="" w:cs="Arial" w:eastAsiaTheme="minorEastAsia"/>
          <w:lang w:eastAsia="en-US"/>
        </w:rPr>
        <w:t xml:space="preserve"> development pr</w:t>
      </w:r>
      <w:r w:rsidRPr="5FEB26CB" w:rsidR="3695E687">
        <w:rPr>
          <w:rFonts w:eastAsia="" w:cs="Arial" w:eastAsiaTheme="minorEastAsia"/>
          <w:lang w:eastAsia="en-US"/>
        </w:rPr>
        <w:t>o</w:t>
      </w:r>
      <w:r w:rsidRPr="5FEB26CB" w:rsidR="4665FADB">
        <w:rPr>
          <w:rFonts w:eastAsia="" w:cs="Arial" w:eastAsiaTheme="minorEastAsia"/>
          <w:lang w:eastAsia="en-US"/>
        </w:rPr>
        <w:t xml:space="preserve">posals delivering </w:t>
      </w:r>
      <w:r w:rsidRPr="5FEB26CB" w:rsidR="7B781B03">
        <w:rPr>
          <w:rFonts w:eastAsia="" w:cs="Arial" w:eastAsiaTheme="minorEastAsia"/>
          <w:lang w:eastAsia="en-US"/>
        </w:rPr>
        <w:t>commercial developments</w:t>
      </w:r>
      <w:r w:rsidRPr="5FEB26CB" w:rsidR="25B86D74">
        <w:rPr>
          <w:rFonts w:eastAsia="" w:cs="Arial" w:eastAsiaTheme="minorEastAsia"/>
          <w:lang w:eastAsia="en-US"/>
        </w:rPr>
        <w:t xml:space="preserve"> </w:t>
      </w:r>
      <w:r w:rsidRPr="5FEB26CB" w:rsidR="43AFC53E">
        <w:rPr>
          <w:rFonts w:eastAsia="" w:cs="Arial" w:eastAsiaTheme="minorEastAsia"/>
          <w:lang w:eastAsia="en-US"/>
        </w:rPr>
        <w:t xml:space="preserve">on named sites, </w:t>
      </w:r>
      <w:r w:rsidRPr="5FEB26CB" w:rsidR="25B86D74">
        <w:rPr>
          <w:rFonts w:eastAsia="" w:cs="Arial" w:eastAsiaTheme="minorEastAsia"/>
          <w:lang w:eastAsia="en-US"/>
        </w:rPr>
        <w:t xml:space="preserve">to produce an affordable workspace strategy detailing how affordable </w:t>
      </w:r>
      <w:r w:rsidRPr="5FEB26CB" w:rsidR="534AF4BC">
        <w:rPr>
          <w:rFonts w:eastAsia="" w:cs="Arial" w:eastAsiaTheme="minorEastAsia"/>
          <w:lang w:eastAsia="en-US"/>
        </w:rPr>
        <w:t>workspace can be delivered as part of their masterplan</w:t>
      </w:r>
      <w:r w:rsidRPr="5FEB26CB" w:rsidR="534AF4BC">
        <w:rPr>
          <w:rFonts w:eastAsia="" w:cs="Arial" w:eastAsiaTheme="minorEastAsia"/>
          <w:lang w:eastAsia="en-US"/>
        </w:rPr>
        <w:t xml:space="preserve">. </w:t>
      </w:r>
      <w:r w:rsidRPr="5FEB26CB" w:rsidR="7B781B03">
        <w:rPr>
          <w:rFonts w:eastAsia="" w:cs="Arial" w:eastAsiaTheme="minorEastAsia"/>
          <w:lang w:eastAsia="en-US"/>
        </w:rPr>
        <w:t xml:space="preserve"> </w:t>
      </w:r>
      <w:r w:rsidRPr="5FEB26CB" w:rsidR="7B781B03">
        <w:rPr>
          <w:rFonts w:eastAsia="" w:cs="Arial" w:eastAsiaTheme="minorEastAsia"/>
          <w:lang w:eastAsia="en-US"/>
        </w:rPr>
        <w:t xml:space="preserve"> </w:t>
      </w:r>
      <w:r w:rsidRPr="5FEB26CB" w:rsidR="0061302C">
        <w:rPr>
          <w:rFonts w:eastAsia="" w:cs="Arial" w:eastAsiaTheme="minorEastAsia"/>
          <w:lang w:eastAsia="en-US"/>
        </w:rPr>
        <w:t>Community Employment</w:t>
      </w:r>
      <w:r w:rsidRPr="5FEB26CB" w:rsidR="7829F85F">
        <w:rPr>
          <w:rFonts w:eastAsia="" w:cs="Arial" w:eastAsiaTheme="minorEastAsia"/>
          <w:lang w:eastAsia="en-US"/>
        </w:rPr>
        <w:t xml:space="preserve"> and Procurement</w:t>
      </w:r>
      <w:r w:rsidRPr="5FEB26CB" w:rsidR="0061302C">
        <w:rPr>
          <w:rFonts w:eastAsia="" w:cs="Arial" w:eastAsiaTheme="minorEastAsia"/>
          <w:lang w:eastAsia="en-US"/>
        </w:rPr>
        <w:t xml:space="preserve"> Plans (</w:t>
      </w:r>
      <w:r w:rsidRPr="5FEB26CB" w:rsidR="0061302C">
        <w:rPr>
          <w:rFonts w:eastAsia="" w:cs="Arial" w:eastAsiaTheme="minorEastAsia"/>
          <w:lang w:eastAsia="en-US"/>
        </w:rPr>
        <w:t>CEP</w:t>
      </w:r>
      <w:r w:rsidRPr="5FEB26CB" w:rsidR="4670ABFD">
        <w:rPr>
          <w:rFonts w:eastAsia="" w:cs="Arial" w:eastAsiaTheme="minorEastAsia"/>
          <w:lang w:eastAsia="en-US"/>
        </w:rPr>
        <w:t>P</w:t>
      </w:r>
      <w:r w:rsidRPr="5FEB26CB" w:rsidR="0061302C">
        <w:rPr>
          <w:rFonts w:eastAsia="" w:cs="Arial" w:eastAsiaTheme="minorEastAsia"/>
          <w:lang w:eastAsia="en-US"/>
        </w:rPr>
        <w:t xml:space="preserve">s) can play a significant role in improving job opportunities for local people and support both the local labour market and the businesses that </w:t>
      </w:r>
      <w:r w:rsidRPr="5FEB26CB" w:rsidR="0061302C">
        <w:rPr>
          <w:rFonts w:eastAsia="" w:cs="Arial" w:eastAsiaTheme="minorEastAsia"/>
          <w:lang w:eastAsia="en-US"/>
        </w:rPr>
        <w:t>operate</w:t>
      </w:r>
      <w:r w:rsidRPr="5FEB26CB" w:rsidR="0061302C">
        <w:rPr>
          <w:rFonts w:eastAsia="" w:cs="Arial" w:eastAsiaTheme="minorEastAsia"/>
          <w:lang w:eastAsia="en-US"/>
        </w:rPr>
        <w:t xml:space="preserve"> in Oxford or wish to move to the city. Policy E</w:t>
      </w:r>
      <w:r w:rsidRPr="5FEB26CB" w:rsidR="14800958">
        <w:rPr>
          <w:rFonts w:eastAsia="" w:cs="Arial" w:eastAsiaTheme="minorEastAsia"/>
          <w:lang w:eastAsia="en-US"/>
        </w:rPr>
        <w:t>4</w:t>
      </w:r>
      <w:r w:rsidRPr="5FEB26CB" w:rsidR="0061302C">
        <w:rPr>
          <w:rFonts w:eastAsia="" w:cs="Arial" w:eastAsiaTheme="minorEastAsia"/>
          <w:lang w:eastAsia="en-US"/>
        </w:rPr>
        <w:t xml:space="preserve"> therefore seeks to secure a </w:t>
      </w:r>
      <w:r w:rsidRPr="5FEB26CB" w:rsidR="071DEAB6">
        <w:rPr>
          <w:rFonts w:eastAsia="" w:cs="Arial" w:eastAsiaTheme="minorEastAsia"/>
          <w:lang w:eastAsia="en-US"/>
        </w:rPr>
        <w:t>CEPP</w:t>
      </w:r>
      <w:r w:rsidRPr="5FEB26CB" w:rsidR="0061302C">
        <w:rPr>
          <w:rFonts w:eastAsia="" w:cs="Arial" w:eastAsiaTheme="minorEastAsia"/>
          <w:lang w:eastAsia="en-US"/>
        </w:rPr>
        <w:t xml:space="preserve"> for developments of 50 or more homes or over 1,000sqm non-residential floorspace. </w:t>
      </w:r>
    </w:p>
    <w:p w:rsidRPr="0061302C" w:rsidR="00F73E27" w:rsidP="22F9550C" w:rsidRDefault="0061302C" w14:paraId="5E6E96D2" w14:textId="1578FC4C">
      <w:pPr>
        <w:pStyle w:val="ListParagraph"/>
        <w:rPr>
          <w:rFonts w:cs="Arial" w:eastAsiaTheme="minorEastAsia"/>
          <w:b/>
          <w:bCs/>
          <w:i/>
          <w:iCs/>
          <w:lang w:eastAsia="en-US"/>
        </w:rPr>
      </w:pPr>
      <w:r w:rsidRPr="5FEB26CB" w:rsidR="0061302C">
        <w:rPr>
          <w:rFonts w:eastAsia="" w:cs="Arial" w:eastAsiaTheme="minorEastAsia"/>
          <w:lang w:eastAsia="en-US"/>
        </w:rPr>
        <w:t>Policy E</w:t>
      </w:r>
      <w:r w:rsidRPr="5FEB26CB" w:rsidR="1D1FD395">
        <w:rPr>
          <w:rFonts w:eastAsia="" w:cs="Arial" w:eastAsiaTheme="minorEastAsia"/>
          <w:lang w:eastAsia="en-US"/>
        </w:rPr>
        <w:t xml:space="preserve">5 </w:t>
      </w:r>
      <w:r w:rsidRPr="5FEB26CB" w:rsidR="0061302C">
        <w:rPr>
          <w:rFonts w:eastAsia="" w:cs="Arial" w:eastAsiaTheme="minorEastAsia"/>
          <w:lang w:eastAsia="en-US"/>
        </w:rPr>
        <w:t xml:space="preserve">is concerned with tourism and short-stay accommodation. </w:t>
      </w:r>
      <w:r w:rsidRPr="5FEB26CB" w:rsidR="00DC443E">
        <w:rPr>
          <w:rFonts w:eastAsia="" w:cs="Arial" w:eastAsiaTheme="minorEastAsia"/>
          <w:lang w:eastAsia="en-US"/>
        </w:rPr>
        <w:t xml:space="preserve">The policy directs new holiday and short-stay accommodation to sustainable locations, including the city and district centres and main arterial roads. The expansion and or refurbishment of existing accommodation is supported in principle subject to criteria. Whilst larger accommodation of 10 beds or more in sustainable locations is sought to be retained, unless evidence of non-viability can be demonstrated. </w:t>
      </w:r>
    </w:p>
    <w:p w:rsidRPr="00801F2C" w:rsidR="008808F4" w:rsidP="008808F4" w:rsidRDefault="008808F4" w14:paraId="3461D779" w14:textId="77777777">
      <w:pPr>
        <w:pStyle w:val="bParagraphtext"/>
        <w:numPr>
          <w:ilvl w:val="0"/>
          <w:numId w:val="0"/>
        </w:numPr>
        <w:spacing w:after="0"/>
        <w:ind w:left="360"/>
        <w:contextualSpacing/>
        <w:rPr>
          <w:rFonts w:cs="Arial" w:eastAsiaTheme="minorHAnsi"/>
          <w:lang w:eastAsia="en-US"/>
        </w:rPr>
      </w:pPr>
    </w:p>
    <w:p w:rsidRPr="00E23E44" w:rsidR="00E23E44" w:rsidP="00E23E44" w:rsidRDefault="00E23E44" w14:paraId="6B027B6E" w14:textId="77777777">
      <w:pPr>
        <w:tabs>
          <w:tab w:val="left" w:pos="426"/>
        </w:tabs>
        <w:spacing w:after="0"/>
        <w:contextualSpacing/>
        <w:rPr>
          <w:b/>
          <w:i/>
        </w:rPr>
      </w:pPr>
      <w:r w:rsidRPr="00E23E44">
        <w:rPr>
          <w:b/>
          <w:i/>
        </w:rPr>
        <w:t>A green biodiverse city that is resilient to climate change</w:t>
      </w:r>
    </w:p>
    <w:p w:rsidRPr="00830AD0" w:rsidR="00830AD0" w:rsidP="00830AD0" w:rsidRDefault="00830AD0" w14:paraId="3CF2D8B6" w14:textId="77777777">
      <w:pPr>
        <w:pStyle w:val="bParagraphtext"/>
        <w:numPr>
          <w:ilvl w:val="0"/>
          <w:numId w:val="0"/>
        </w:numPr>
        <w:spacing w:after="0"/>
        <w:rPr>
          <w:rFonts w:eastAsiaTheme="minorHAnsi"/>
          <w:lang w:eastAsia="en-US"/>
        </w:rPr>
      </w:pPr>
    </w:p>
    <w:p w:rsidR="008D2FFA" w:rsidP="547EA015" w:rsidRDefault="000E1091" w14:paraId="347B2EDE" w14:textId="5961ACA9">
      <w:pPr>
        <w:pStyle w:val="bParagraphtext"/>
        <w:spacing w:after="0"/>
        <w:rPr>
          <w:rFonts w:eastAsiaTheme="minorEastAsia"/>
          <w:lang w:eastAsia="en-US"/>
        </w:rPr>
      </w:pPr>
      <w:r w:rsidRPr="5FEB26CB" w:rsidR="000E1091">
        <w:rPr>
          <w:rFonts w:eastAsia="" w:eastAsiaTheme="minorEastAsia"/>
          <w:lang w:eastAsia="en-US"/>
        </w:rPr>
        <w:t>Chapter 4</w:t>
      </w:r>
      <w:r w:rsidRPr="5FEB26CB" w:rsidR="00E23E44">
        <w:rPr>
          <w:rFonts w:eastAsia="" w:eastAsiaTheme="minorEastAsia"/>
          <w:lang w:eastAsia="en-US"/>
        </w:rPr>
        <w:t xml:space="preserve"> is </w:t>
      </w:r>
      <w:r w:rsidRPr="5FEB26CB" w:rsidR="0062683B">
        <w:rPr>
          <w:rFonts w:eastAsia="" w:eastAsiaTheme="minorEastAsia"/>
          <w:lang w:eastAsia="en-US"/>
        </w:rPr>
        <w:t xml:space="preserve">concerned with protecting and enhancing green and blue infrastructure, delivering net gains in biodiversity and building in resilience to flooding and promoting sustainable drainage and resilient construction methods. The </w:t>
      </w:r>
      <w:r w:rsidRPr="5FEB26CB" w:rsidR="007428A5">
        <w:rPr>
          <w:rFonts w:eastAsia="" w:eastAsiaTheme="minorEastAsia"/>
          <w:lang w:eastAsia="en-US"/>
        </w:rPr>
        <w:t xml:space="preserve">policy </w:t>
      </w:r>
      <w:r w:rsidRPr="5FEB26CB" w:rsidR="0062683B">
        <w:rPr>
          <w:rFonts w:eastAsia="" w:eastAsiaTheme="minorEastAsia"/>
          <w:lang w:eastAsia="en-US"/>
        </w:rPr>
        <w:t xml:space="preserve">approach </w:t>
      </w:r>
      <w:r w:rsidRPr="5FEB26CB" w:rsidR="007428A5">
        <w:rPr>
          <w:rFonts w:eastAsia="" w:eastAsiaTheme="minorEastAsia"/>
          <w:lang w:eastAsia="en-US"/>
        </w:rPr>
        <w:t>in</w:t>
      </w:r>
      <w:r w:rsidRPr="5FEB26CB" w:rsidR="0062683B">
        <w:rPr>
          <w:rFonts w:eastAsia="" w:eastAsiaTheme="minorEastAsia"/>
          <w:lang w:eastAsia="en-US"/>
        </w:rPr>
        <w:t xml:space="preserve"> the Local Plan recognises </w:t>
      </w:r>
      <w:r w:rsidRPr="5FEB26CB" w:rsidR="0062683B">
        <w:rPr>
          <w:rFonts w:eastAsia="" w:eastAsiaTheme="minorEastAsia"/>
          <w:lang w:eastAsia="en-US"/>
        </w:rPr>
        <w:t xml:space="preserve">the multi-functional benefits of our GI network and seeks to ensure that we protect </w:t>
      </w:r>
      <w:r w:rsidRPr="5FEB26CB" w:rsidR="008D2FFA">
        <w:rPr>
          <w:rFonts w:eastAsia="" w:eastAsiaTheme="minorEastAsia"/>
          <w:lang w:eastAsia="en-US"/>
        </w:rPr>
        <w:t xml:space="preserve">(Policy G1) </w:t>
      </w:r>
      <w:r w:rsidRPr="5FEB26CB" w:rsidR="0062683B">
        <w:rPr>
          <w:rFonts w:eastAsia="" w:eastAsiaTheme="minorEastAsia"/>
          <w:lang w:eastAsia="en-US"/>
        </w:rPr>
        <w:t xml:space="preserve">a range of spaces and features for the benefit of the city now and into the future, where possible enhancing </w:t>
      </w:r>
      <w:r w:rsidRPr="5FEB26CB" w:rsidR="008D2FFA">
        <w:rPr>
          <w:rFonts w:eastAsia="" w:eastAsiaTheme="minorEastAsia"/>
          <w:lang w:eastAsia="en-US"/>
        </w:rPr>
        <w:t xml:space="preserve">(Policy G2) </w:t>
      </w:r>
      <w:r w:rsidRPr="5FEB26CB" w:rsidR="0062683B">
        <w:rPr>
          <w:rFonts w:eastAsia="" w:eastAsiaTheme="minorEastAsia"/>
          <w:lang w:eastAsia="en-US"/>
        </w:rPr>
        <w:t xml:space="preserve">these and providing new features to strengthen that network. </w:t>
      </w:r>
      <w:r w:rsidRPr="5FEB26CB" w:rsidR="008D2FFA">
        <w:rPr>
          <w:rFonts w:eastAsia="" w:eastAsiaTheme="minorEastAsia"/>
          <w:lang w:eastAsia="en-US"/>
        </w:rPr>
        <w:t>Policy G3 includes more specific requirements around providing green, natural surface cover on specific types of development through the use of the Council’s Urban Greening Factor policy tool.</w:t>
      </w:r>
    </w:p>
    <w:p w:rsidR="00E23E44" w:rsidP="22F9550C" w:rsidRDefault="00E23E44" w14:paraId="2E010827" w14:textId="5973C42F">
      <w:pPr>
        <w:pStyle w:val="bParagraphtext"/>
        <w:numPr>
          <w:ilvl w:val="0"/>
          <w:numId w:val="0"/>
        </w:numPr>
        <w:spacing w:after="0"/>
        <w:rPr>
          <w:rFonts w:eastAsiaTheme="minorEastAsia"/>
          <w:color w:val="000000" w:themeColor="text1"/>
          <w:lang w:eastAsia="en-US"/>
        </w:rPr>
      </w:pPr>
    </w:p>
    <w:p w:rsidR="00E23E44" w:rsidP="22F9550C" w:rsidRDefault="005867A8" w14:paraId="7F23DD8B" w14:textId="37BE9562">
      <w:pPr>
        <w:pStyle w:val="bParagraphtext"/>
        <w:spacing w:after="0"/>
        <w:rPr>
          <w:rFonts w:eastAsiaTheme="minorEastAsia"/>
          <w:color w:val="000000" w:themeColor="text1"/>
          <w:lang w:eastAsia="en-US"/>
        </w:rPr>
      </w:pPr>
      <w:r w:rsidRPr="5FEB26CB" w:rsidR="005867A8">
        <w:rPr>
          <w:rFonts w:eastAsia="" w:eastAsiaTheme="minorEastAsia"/>
          <w:lang w:eastAsia="en-US"/>
        </w:rPr>
        <w:t>A</w:t>
      </w:r>
      <w:r w:rsidRPr="5FEB26CB" w:rsidR="008D2FFA">
        <w:rPr>
          <w:rFonts w:eastAsia="" w:eastAsiaTheme="minorEastAsia"/>
          <w:lang w:eastAsia="en-US"/>
        </w:rPr>
        <w:t xml:space="preserve">ll new planning applications </w:t>
      </w:r>
      <w:r w:rsidRPr="5FEB26CB" w:rsidR="005867A8">
        <w:rPr>
          <w:rFonts w:eastAsia="" w:eastAsiaTheme="minorEastAsia"/>
          <w:lang w:eastAsia="en-US"/>
        </w:rPr>
        <w:t xml:space="preserve">will be required </w:t>
      </w:r>
      <w:r w:rsidRPr="5FEB26CB" w:rsidR="008D2FFA">
        <w:rPr>
          <w:rFonts w:eastAsia="" w:eastAsiaTheme="minorEastAsia"/>
          <w:lang w:eastAsia="en-US"/>
        </w:rPr>
        <w:t>to deliver biodiversity net gain</w:t>
      </w:r>
      <w:r w:rsidRPr="5FEB26CB" w:rsidR="75F3E66E">
        <w:rPr>
          <w:rFonts w:eastAsia="" w:eastAsiaTheme="minorEastAsia"/>
          <w:lang w:eastAsia="en-US"/>
        </w:rPr>
        <w:t>, in accordance with the Environment Act 2021</w:t>
      </w:r>
      <w:r w:rsidRPr="5FEB26CB" w:rsidR="008D2FFA">
        <w:rPr>
          <w:rFonts w:eastAsia="" w:eastAsiaTheme="minorEastAsia"/>
          <w:lang w:eastAsia="en-US"/>
        </w:rPr>
        <w:t xml:space="preserve">, with an initial requirement of 10% introduced for large sites in November 2023 and small sites in April 2024. Policy </w:t>
      </w:r>
      <w:r w:rsidRPr="5FEB26CB" w:rsidR="00065DFF">
        <w:rPr>
          <w:rFonts w:eastAsia="" w:eastAsiaTheme="minorEastAsia"/>
          <w:lang w:eastAsia="en-US"/>
        </w:rPr>
        <w:t xml:space="preserve">G4 </w:t>
      </w:r>
      <w:r w:rsidRPr="5FEB26CB" w:rsidR="008D2FFA">
        <w:rPr>
          <w:rFonts w:eastAsia="" w:eastAsiaTheme="minorEastAsia"/>
          <w:lang w:eastAsia="en-US"/>
        </w:rPr>
        <w:t>sets out the expectation that biodiversity net gain is delivered either onsite or within those areas of land within the city which have been identified as being most beneficial for supporting the wider ecological network</w:t>
      </w:r>
      <w:r w:rsidRPr="5FEB26CB" w:rsidR="6D87AF51">
        <w:rPr>
          <w:rFonts w:eastAsia="" w:eastAsiaTheme="minorEastAsia"/>
          <w:lang w:eastAsia="en-US"/>
        </w:rPr>
        <w:t>,</w:t>
      </w:r>
      <w:r w:rsidRPr="5FEB26CB" w:rsidR="008D2FFA">
        <w:rPr>
          <w:rFonts w:eastAsia="" w:eastAsiaTheme="minorEastAsia"/>
          <w:lang w:eastAsia="en-US"/>
        </w:rPr>
        <w:t xml:space="preserve"> to secure as much benefit as possible for nearby species and habitats.</w:t>
      </w:r>
      <w:r w:rsidRPr="5FEB26CB" w:rsidR="00065DFF">
        <w:rPr>
          <w:rFonts w:eastAsia="" w:eastAsiaTheme="minorEastAsia"/>
          <w:lang w:eastAsia="en-US"/>
        </w:rPr>
        <w:t xml:space="preserve"> If robust evidence is provided to show</w:t>
      </w:r>
      <w:r w:rsidRPr="5FEB26CB" w:rsidR="005867A8">
        <w:rPr>
          <w:rFonts w:eastAsia="" w:eastAsiaTheme="minorEastAsia"/>
          <w:lang w:eastAsia="en-US"/>
        </w:rPr>
        <w:t xml:space="preserve"> </w:t>
      </w:r>
      <w:r w:rsidR="00065DFF">
        <w:rPr/>
        <w:t xml:space="preserve">net gain cannot be achieved onsite or offsite, then </w:t>
      </w:r>
      <w:r w:rsidR="009719B9">
        <w:rPr/>
        <w:t xml:space="preserve">the </w:t>
      </w:r>
      <w:r w:rsidR="00065DFF">
        <w:rPr/>
        <w:t>purchase of biodiversity units from a habitat bank or statutory biodiversity credits may be accepted to meet net gain.</w:t>
      </w:r>
    </w:p>
    <w:p w:rsidR="00065DFF" w:rsidP="00E23E44" w:rsidRDefault="00065DFF" w14:paraId="0FB78278" w14:textId="77777777">
      <w:pPr>
        <w:pStyle w:val="bParagraphtext"/>
        <w:numPr>
          <w:ilvl w:val="0"/>
          <w:numId w:val="0"/>
        </w:numPr>
        <w:spacing w:after="0"/>
        <w:ind w:left="502"/>
      </w:pPr>
    </w:p>
    <w:p w:rsidR="00C45433" w:rsidP="547EA015" w:rsidRDefault="00065DFF" w14:paraId="38C89322" w14:textId="274777E6">
      <w:pPr>
        <w:pStyle w:val="bParagraphtext"/>
        <w:rPr>
          <w:rFonts w:eastAsiaTheme="minorEastAsia"/>
          <w:lang w:eastAsia="en-US"/>
        </w:rPr>
      </w:pPr>
      <w:r w:rsidRPr="5FEB26CB" w:rsidR="00065DFF">
        <w:rPr>
          <w:rFonts w:eastAsia="" w:eastAsiaTheme="minorEastAsia"/>
          <w:lang w:eastAsia="en-US"/>
        </w:rPr>
        <w:t>Policy G5 seeks to enhance on</w:t>
      </w:r>
      <w:r w:rsidRPr="5FEB26CB" w:rsidR="2F2EE52B">
        <w:rPr>
          <w:rFonts w:eastAsia="" w:eastAsiaTheme="minorEastAsia"/>
          <w:lang w:eastAsia="en-US"/>
        </w:rPr>
        <w:t>-</w:t>
      </w:r>
      <w:r w:rsidRPr="5FEB26CB" w:rsidR="00065DFF">
        <w:rPr>
          <w:rFonts w:eastAsia="" w:eastAsiaTheme="minorEastAsia"/>
          <w:lang w:eastAsia="en-US"/>
        </w:rPr>
        <w:t xml:space="preserve">site biodiversity into landscaping or building facades / roof spaces to meet priority habitats and protected species. </w:t>
      </w:r>
      <w:r w:rsidRPr="5FEB26CB" w:rsidR="00C45433">
        <w:rPr>
          <w:rFonts w:eastAsia="" w:eastAsiaTheme="minorEastAsia"/>
          <w:lang w:eastAsia="en-US"/>
        </w:rPr>
        <w:t>Policy G6 requires development proposals to conserve and enhance biodiversity including safeguarding the key sites of Oxford’s ecological network.</w:t>
      </w:r>
    </w:p>
    <w:p w:rsidR="00A83097" w:rsidP="547EA015" w:rsidRDefault="00C45433" w14:paraId="0E1DBE9F" w14:textId="66F19697">
      <w:pPr>
        <w:pStyle w:val="bParagraphtext"/>
        <w:rPr>
          <w:rFonts w:eastAsiaTheme="minorEastAsia"/>
          <w:lang w:eastAsia="en-US"/>
        </w:rPr>
      </w:pPr>
      <w:r w:rsidRPr="5FEB26CB" w:rsidR="00C45433">
        <w:rPr>
          <w:rFonts w:eastAsia="" w:eastAsiaTheme="minorEastAsia"/>
          <w:lang w:eastAsia="en-US"/>
        </w:rPr>
        <w:t>Policy G7 is concerned with flood risk. It requires development proposals to have considered the potential for flooding from all relevant sources now and for the lifetime of the development</w:t>
      </w:r>
      <w:r w:rsidRPr="5FEB26CB" w:rsidR="0E8157C4">
        <w:rPr>
          <w:rFonts w:eastAsia="" w:eastAsiaTheme="minorEastAsia"/>
          <w:lang w:eastAsia="en-US"/>
        </w:rPr>
        <w:t>,</w:t>
      </w:r>
      <w:r w:rsidRPr="5FEB26CB" w:rsidR="00C45433">
        <w:rPr>
          <w:rFonts w:eastAsia="" w:eastAsiaTheme="minorEastAsia"/>
          <w:lang w:eastAsia="en-US"/>
        </w:rPr>
        <w:t xml:space="preserve"> including climate change, as well as the potential for them increasing flood risk elsewhere, safety of users of the development, and</w:t>
      </w:r>
      <w:r w:rsidRPr="5FEB26CB" w:rsidR="5308A137">
        <w:rPr>
          <w:rFonts w:eastAsia="" w:eastAsiaTheme="minorEastAsia"/>
          <w:lang w:eastAsia="en-US"/>
        </w:rPr>
        <w:t xml:space="preserve"> that</w:t>
      </w:r>
      <w:r w:rsidRPr="5FEB26CB" w:rsidR="00C45433">
        <w:rPr>
          <w:rFonts w:eastAsia="" w:eastAsiaTheme="minorEastAsia"/>
          <w:lang w:eastAsia="en-US"/>
        </w:rPr>
        <w:t xml:space="preserve"> they have appropriately addressed any flood risks where they are identified. This would require a Sequential Test and Exception Test to be carried out and passed. A </w:t>
      </w:r>
      <w:r w:rsidRPr="5FEB26CB" w:rsidR="1C5B79FD">
        <w:rPr>
          <w:rFonts w:eastAsia="" w:eastAsiaTheme="minorEastAsia"/>
          <w:lang w:eastAsia="en-US"/>
        </w:rPr>
        <w:t>site-specific</w:t>
      </w:r>
      <w:r w:rsidRPr="5FEB26CB" w:rsidR="00C45433">
        <w:rPr>
          <w:rFonts w:eastAsia="" w:eastAsiaTheme="minorEastAsia"/>
          <w:lang w:eastAsia="en-US"/>
        </w:rPr>
        <w:t xml:space="preserve"> flood risk assessment (FRA) would be required in key areas of the city</w:t>
      </w:r>
      <w:r w:rsidRPr="5FEB26CB" w:rsidR="00A83097">
        <w:rPr>
          <w:rFonts w:eastAsia="" w:eastAsiaTheme="minorEastAsia"/>
          <w:lang w:eastAsia="en-US"/>
        </w:rPr>
        <w:t>.</w:t>
      </w:r>
    </w:p>
    <w:p w:rsidR="00C45433" w:rsidP="0EFAA4EA" w:rsidRDefault="00A83097" w14:paraId="20CCE058" w14:textId="47C7E26D">
      <w:pPr>
        <w:pStyle w:val="bParagraphtext"/>
        <w:rPr>
          <w:rFonts w:eastAsiaTheme="minorEastAsia"/>
          <w:lang w:eastAsia="en-US"/>
        </w:rPr>
      </w:pPr>
      <w:r w:rsidRPr="5FEB26CB" w:rsidR="00A83097">
        <w:rPr>
          <w:rFonts w:eastAsia="" w:eastAsiaTheme="minorEastAsia"/>
          <w:lang w:eastAsia="en-US"/>
        </w:rPr>
        <w:t xml:space="preserve">Policy G8 requires all new developments to manage surface water through Sustainable Drainage Systems (SuDS).  SuDS must be designed in a way that incorporates reuse, infiltration, </w:t>
      </w:r>
      <w:r w:rsidRPr="5FEB26CB" w:rsidR="7A31FC1F">
        <w:rPr>
          <w:rFonts w:eastAsia="" w:eastAsiaTheme="minorEastAsia"/>
          <w:lang w:eastAsia="en-US"/>
        </w:rPr>
        <w:t>retention,</w:t>
      </w:r>
      <w:r w:rsidRPr="5FEB26CB" w:rsidR="00A83097">
        <w:rPr>
          <w:rFonts w:eastAsia="" w:eastAsiaTheme="minorEastAsia"/>
          <w:lang w:eastAsia="en-US"/>
        </w:rPr>
        <w:t xml:space="preserve"> or conveyance methods which utilise natural, </w:t>
      </w:r>
      <w:r w:rsidRPr="5FEB26CB" w:rsidR="642EAA54">
        <w:rPr>
          <w:rFonts w:eastAsia="" w:eastAsiaTheme="minorEastAsia"/>
          <w:lang w:eastAsia="en-US"/>
        </w:rPr>
        <w:t>green,</w:t>
      </w:r>
      <w:r w:rsidRPr="5FEB26CB" w:rsidR="00A83097">
        <w:rPr>
          <w:rFonts w:eastAsia="" w:eastAsiaTheme="minorEastAsia"/>
          <w:lang w:eastAsia="en-US"/>
        </w:rPr>
        <w:t xml:space="preserve"> and blue infrastructure rather than unnatural, artificial components. The policy requires surface water runoff to be managed to greenfield run-off rates as close to its source as possible. Policy G9 requires a design and access statement to show how the </w:t>
      </w:r>
      <w:r w:rsidRPr="5FEB26CB" w:rsidR="00E34BCE">
        <w:rPr>
          <w:rFonts w:eastAsia="" w:eastAsiaTheme="minorEastAsia"/>
          <w:lang w:eastAsia="en-US"/>
        </w:rPr>
        <w:t xml:space="preserve">design and construction has responded to </w:t>
      </w:r>
      <w:r w:rsidRPr="5FEB26CB" w:rsidR="00A83097">
        <w:rPr>
          <w:rFonts w:eastAsia="" w:eastAsiaTheme="minorEastAsia"/>
          <w:lang w:eastAsia="en-US"/>
        </w:rPr>
        <w:t xml:space="preserve">existing and future climate and potential weather extremes that </w:t>
      </w:r>
      <w:r w:rsidRPr="5FEB26CB" w:rsidR="00E34BCE">
        <w:rPr>
          <w:rFonts w:eastAsia="" w:eastAsiaTheme="minorEastAsia"/>
          <w:lang w:eastAsia="en-US"/>
        </w:rPr>
        <w:t>the</w:t>
      </w:r>
      <w:r w:rsidRPr="5FEB26CB" w:rsidR="00A83097">
        <w:rPr>
          <w:rFonts w:eastAsia="" w:eastAsiaTheme="minorEastAsia"/>
          <w:lang w:eastAsia="en-US"/>
        </w:rPr>
        <w:t xml:space="preserve"> development will have to function within</w:t>
      </w:r>
      <w:r w:rsidRPr="5FEB26CB" w:rsidR="00E34BCE">
        <w:rPr>
          <w:rFonts w:eastAsia="" w:eastAsiaTheme="minorEastAsia"/>
          <w:lang w:eastAsia="en-US"/>
        </w:rPr>
        <w:t xml:space="preserve">. </w:t>
      </w:r>
    </w:p>
    <w:p w:rsidRPr="004278A0" w:rsidR="000360F7" w:rsidP="000360F7" w:rsidRDefault="000360F7" w14:paraId="57EF8A94" w14:textId="77777777">
      <w:pPr>
        <w:spacing w:after="0"/>
        <w:ind w:left="142"/>
        <w:rPr>
          <w:rFonts w:eastAsiaTheme="minorHAnsi"/>
          <w:b/>
          <w:i/>
          <w:color w:val="auto"/>
          <w:lang w:eastAsia="en-US"/>
        </w:rPr>
      </w:pPr>
      <w:r w:rsidRPr="004278A0">
        <w:rPr>
          <w:rFonts w:eastAsiaTheme="minorHAnsi"/>
          <w:b/>
          <w:i/>
          <w:color w:val="auto"/>
          <w:lang w:eastAsia="en-US"/>
        </w:rPr>
        <w:t>A city that utilises its resources with care, protects the air, water and soil</w:t>
      </w:r>
    </w:p>
    <w:p w:rsidR="000360F7" w:rsidP="000360F7" w:rsidRDefault="000360F7" w14:paraId="1FC39945" w14:textId="77777777">
      <w:pPr>
        <w:pStyle w:val="bParagraphtext"/>
        <w:numPr>
          <w:ilvl w:val="0"/>
          <w:numId w:val="0"/>
        </w:numPr>
        <w:ind w:left="502" w:hanging="360"/>
        <w:rPr>
          <w:rFonts w:eastAsiaTheme="minorHAnsi"/>
          <w:lang w:eastAsia="en-US"/>
        </w:rPr>
      </w:pPr>
    </w:p>
    <w:p w:rsidR="009D609D" w:rsidP="547EA015" w:rsidRDefault="009D609D" w14:paraId="58ED989B" w14:textId="1F7DA271">
      <w:pPr>
        <w:pStyle w:val="bParagraphtext"/>
        <w:rPr>
          <w:rFonts w:eastAsiaTheme="minorEastAsia"/>
          <w:lang w:eastAsia="en-US"/>
        </w:rPr>
      </w:pPr>
      <w:r w:rsidRPr="5FEB26CB" w:rsidR="009D609D">
        <w:rPr>
          <w:rFonts w:eastAsia="" w:eastAsiaTheme="minorEastAsia"/>
          <w:lang w:eastAsia="en-US"/>
        </w:rPr>
        <w:t xml:space="preserve"> Chapter 5 </w:t>
      </w:r>
      <w:r w:rsidRPr="5FEB26CB" w:rsidR="4986B1DB">
        <w:rPr>
          <w:rFonts w:eastAsia="" w:eastAsiaTheme="minorEastAsia"/>
          <w:lang w:eastAsia="en-US"/>
        </w:rPr>
        <w:t xml:space="preserve">includes </w:t>
      </w:r>
      <w:r w:rsidRPr="5FEB26CB" w:rsidR="009D609D">
        <w:rPr>
          <w:rFonts w:eastAsia="" w:eastAsiaTheme="minorEastAsia"/>
          <w:lang w:eastAsia="en-US"/>
        </w:rPr>
        <w:t xml:space="preserve">policies </w:t>
      </w:r>
      <w:r w:rsidRPr="5FEB26CB" w:rsidR="3DD88E12">
        <w:rPr>
          <w:rFonts w:eastAsia="" w:eastAsiaTheme="minorEastAsia"/>
          <w:lang w:eastAsia="en-US"/>
        </w:rPr>
        <w:t xml:space="preserve">that </w:t>
      </w:r>
      <w:r w:rsidRPr="5FEB26CB" w:rsidR="009D609D">
        <w:rPr>
          <w:rFonts w:eastAsia="" w:eastAsiaTheme="minorEastAsia"/>
          <w:lang w:eastAsia="en-US"/>
        </w:rPr>
        <w:t xml:space="preserve">seek to ensure that new development comes forward in a way that does not further exacerbate climate change </w:t>
      </w:r>
      <w:r w:rsidRPr="5FEB26CB" w:rsidR="009D609D">
        <w:rPr>
          <w:rFonts w:eastAsia="" w:eastAsiaTheme="minorEastAsia"/>
          <w:lang w:eastAsia="en-US"/>
        </w:rPr>
        <w:t xml:space="preserve">through additional carbon emissions to support the significant reductions needed from the existing built environment over the coming years – also known as climate change mitigation to help achieve net zero carbon. </w:t>
      </w:r>
    </w:p>
    <w:p w:rsidR="009D609D" w:rsidP="24B25987" w:rsidRDefault="009D609D" w14:paraId="3B9020FB" w14:textId="41A5712F">
      <w:pPr>
        <w:pStyle w:val="bParagraphtext"/>
        <w:spacing w:line="259" w:lineRule="auto"/>
        <w:rPr>
          <w:rFonts w:eastAsiaTheme="minorEastAsia"/>
          <w:color w:val="000000" w:themeColor="text1"/>
          <w:lang w:eastAsia="en-US"/>
        </w:rPr>
      </w:pPr>
      <w:r w:rsidRPr="5FEB26CB" w:rsidR="009D609D">
        <w:rPr>
          <w:rFonts w:eastAsia="" w:eastAsiaTheme="minorEastAsia"/>
          <w:lang w:eastAsia="en-US"/>
        </w:rPr>
        <w:t xml:space="preserve">Three key policies address the built environment. Policy R1 provides </w:t>
      </w:r>
      <w:r w:rsidRPr="5FEB26CB" w:rsidR="527A00EC">
        <w:rPr>
          <w:rFonts w:eastAsia="" w:eastAsiaTheme="minorEastAsia"/>
          <w:lang w:eastAsia="en-US"/>
        </w:rPr>
        <w:t>requirements for the carbon efficiency</w:t>
      </w:r>
      <w:r w:rsidRPr="5FEB26CB" w:rsidR="009D609D">
        <w:rPr>
          <w:rFonts w:eastAsia="" w:eastAsiaTheme="minorEastAsia"/>
          <w:lang w:eastAsia="en-US"/>
        </w:rPr>
        <w:t xml:space="preserve"> of buildings once they are in operation and throughout their lifetime. Policy R2 focuses on emissions associated with the construction process</w:t>
      </w:r>
      <w:r w:rsidRPr="5FEB26CB" w:rsidR="3654B772">
        <w:rPr>
          <w:rFonts w:eastAsia="" w:eastAsiaTheme="minorEastAsia"/>
          <w:lang w:eastAsia="en-US"/>
        </w:rPr>
        <w:t>,</w:t>
      </w:r>
      <w:r w:rsidRPr="5FEB26CB" w:rsidR="009D609D">
        <w:rPr>
          <w:rFonts w:eastAsia="" w:eastAsiaTheme="minorEastAsia"/>
          <w:lang w:eastAsia="en-US"/>
        </w:rPr>
        <w:t xml:space="preserve"> and Policy R3 is concerned with the importance of </w:t>
      </w:r>
      <w:r w:rsidRPr="5FEB26CB" w:rsidR="6FED2694">
        <w:rPr>
          <w:rFonts w:eastAsia="" w:eastAsiaTheme="minorEastAsia"/>
          <w:lang w:eastAsia="en-US"/>
        </w:rPr>
        <w:t>retrofitting</w:t>
      </w:r>
      <w:r w:rsidRPr="5FEB26CB" w:rsidR="009D609D">
        <w:rPr>
          <w:rFonts w:eastAsia="" w:eastAsiaTheme="minorEastAsia"/>
          <w:lang w:eastAsia="en-US"/>
        </w:rPr>
        <w:t xml:space="preserve"> existing buildings in the city</w:t>
      </w:r>
      <w:r w:rsidRPr="5FEB26CB" w:rsidR="00BD7C0A">
        <w:rPr>
          <w:rFonts w:eastAsia="" w:eastAsiaTheme="minorEastAsia"/>
          <w:lang w:eastAsia="en-US"/>
        </w:rPr>
        <w:t xml:space="preserve"> and sets out that carbon efficiencies may be considered a public benefit</w:t>
      </w:r>
      <w:r w:rsidRPr="5FEB26CB" w:rsidR="009D609D">
        <w:rPr>
          <w:rFonts w:eastAsia="" w:eastAsiaTheme="minorEastAsia"/>
          <w:lang w:eastAsia="en-US"/>
        </w:rPr>
        <w:t>.</w:t>
      </w:r>
    </w:p>
    <w:p w:rsidR="00AE5669" w:rsidP="547EA015" w:rsidRDefault="00101D71" w14:paraId="1AEFA6F8" w14:textId="316E564A">
      <w:pPr>
        <w:pStyle w:val="bParagraphtext"/>
        <w:rPr>
          <w:rFonts w:eastAsiaTheme="minorEastAsia"/>
          <w:lang w:eastAsia="en-US"/>
        </w:rPr>
      </w:pPr>
      <w:r w:rsidRPr="5FEB26CB" w:rsidR="00101D71">
        <w:rPr>
          <w:rFonts w:eastAsia="" w:eastAsiaTheme="minorEastAsia"/>
          <w:lang w:eastAsia="en-US"/>
        </w:rPr>
        <w:t>The second part of th</w:t>
      </w:r>
      <w:r w:rsidRPr="5FEB26CB" w:rsidR="00AF1FD0">
        <w:rPr>
          <w:rFonts w:eastAsia="" w:eastAsiaTheme="minorEastAsia"/>
          <w:lang w:eastAsia="en-US"/>
        </w:rPr>
        <w:t>is</w:t>
      </w:r>
      <w:r w:rsidRPr="5FEB26CB" w:rsidR="00101D71">
        <w:rPr>
          <w:rFonts w:eastAsia="" w:eastAsiaTheme="minorEastAsia"/>
          <w:lang w:eastAsia="en-US"/>
        </w:rPr>
        <w:t xml:space="preserve"> chapter then deals with the protection of various natural resources and ensuring that the development process mitigates its impact on the wider environment. </w:t>
      </w:r>
      <w:r w:rsidRPr="5FEB26CB" w:rsidR="00886E1E">
        <w:rPr>
          <w:rFonts w:eastAsia="" w:eastAsiaTheme="minorEastAsia"/>
          <w:lang w:eastAsia="en-US"/>
        </w:rPr>
        <w:t>Policy R4 addresses the issue of air quality, which is a key concern in the city due to ongoing issues which arise from a range of sources, including tail pipe emissions, burning of fossil fuels for heat as well as construction pollutants. Polic</w:t>
      </w:r>
      <w:r w:rsidRPr="5FEB26CB" w:rsidR="00AF1FD0">
        <w:rPr>
          <w:rFonts w:eastAsia="" w:eastAsiaTheme="minorEastAsia"/>
          <w:lang w:eastAsia="en-US"/>
        </w:rPr>
        <w:t>ies</w:t>
      </w:r>
      <w:r w:rsidRPr="5FEB26CB" w:rsidR="00886E1E">
        <w:rPr>
          <w:rFonts w:eastAsia="" w:eastAsiaTheme="minorEastAsia"/>
          <w:lang w:eastAsia="en-US"/>
        </w:rPr>
        <w:t xml:space="preserve"> R5 &amp; R6 are concerned with the quality of land and its soils. As a result of development over many years in Oxford there are contaminants, such as landfill. Policy R5 therefore sets out guidance on what will be expect</w:t>
      </w:r>
      <w:r w:rsidRPr="5FEB26CB" w:rsidR="456D5344">
        <w:rPr>
          <w:rFonts w:eastAsia="" w:eastAsiaTheme="minorEastAsia"/>
          <w:lang w:eastAsia="en-US"/>
        </w:rPr>
        <w:t xml:space="preserve">ed </w:t>
      </w:r>
      <w:r w:rsidRPr="5FEB26CB" w:rsidR="00886E1E">
        <w:rPr>
          <w:rFonts w:eastAsia="" w:eastAsiaTheme="minorEastAsia"/>
          <w:lang w:eastAsia="en-US"/>
        </w:rPr>
        <w:t xml:space="preserve">from new development and how it should address any contaminated land. </w:t>
      </w:r>
    </w:p>
    <w:p w:rsidR="00AE5669" w:rsidP="00D83D7A" w:rsidRDefault="00A7399A" w14:paraId="684D22C7" w14:textId="77777777">
      <w:pPr>
        <w:pStyle w:val="bParagraphtext"/>
        <w:rPr>
          <w:rFonts w:eastAsiaTheme="minorHAnsi"/>
          <w:lang w:eastAsia="en-US"/>
        </w:rPr>
      </w:pPr>
      <w:r w:rsidRPr="5FEB26CB" w:rsidR="00A7399A">
        <w:rPr>
          <w:rFonts w:eastAsia="" w:eastAsiaTheme="minorEastAsia"/>
          <w:lang w:eastAsia="en-US"/>
        </w:rPr>
        <w:t xml:space="preserve">Policy R6 sets out the need to conserve and enhance soil quality, including peat reserves. Policy R7 then goes on to deal with the wider impacts on amenity &amp; environmental health, including a range of potential risks that new development should seek to mitigate, such as noise and nuisance. </w:t>
      </w:r>
      <w:r w:rsidRPr="5FEB26CB" w:rsidR="00AE5669">
        <w:rPr>
          <w:rFonts w:eastAsia="" w:eastAsiaTheme="minorEastAsia"/>
          <w:lang w:eastAsia="en-US"/>
        </w:rPr>
        <w:t>The policy approach to water quality is dealt with through inter-linked policies in the Plan. Policy R</w:t>
      </w:r>
      <w:r w:rsidRPr="5FEB26CB" w:rsidR="00F1201C">
        <w:rPr>
          <w:rFonts w:eastAsia="" w:eastAsiaTheme="minorEastAsia"/>
          <w:lang w:eastAsia="en-US"/>
        </w:rPr>
        <w:t>8</w:t>
      </w:r>
      <w:r w:rsidRPr="5FEB26CB" w:rsidR="00AE5669">
        <w:rPr>
          <w:rFonts w:eastAsia="" w:eastAsiaTheme="minorEastAsia"/>
          <w:lang w:eastAsia="en-US"/>
        </w:rPr>
        <w:t xml:space="preserve"> considers the amenity &amp; environmental impacts of new development on the use of water. Whilst Policy G9 provides advice on resilient design and construction for new developments together with Policy G8, which promotes multi-functional green SuDs.</w:t>
      </w:r>
    </w:p>
    <w:p w:rsidR="00AE5669" w:rsidP="0EFAA4EA" w:rsidRDefault="00AE5669" w14:paraId="11B15B46" w14:textId="77777777">
      <w:pPr>
        <w:spacing w:after="0"/>
        <w:ind w:left="142"/>
        <w:rPr>
          <w:rFonts w:eastAsiaTheme="minorEastAsia"/>
          <w:b/>
          <w:bCs/>
          <w:i/>
          <w:iCs/>
          <w:color w:val="auto"/>
          <w:lang w:eastAsia="en-US"/>
        </w:rPr>
      </w:pPr>
      <w:r w:rsidRPr="0EFAA4EA">
        <w:rPr>
          <w:rFonts w:eastAsiaTheme="minorEastAsia"/>
          <w:b/>
          <w:bCs/>
          <w:i/>
          <w:iCs/>
          <w:color w:val="auto"/>
          <w:lang w:eastAsia="en-US"/>
        </w:rPr>
        <w:t>A city that that respects its heritage and fosters design of the highest quality</w:t>
      </w:r>
    </w:p>
    <w:p w:rsidRPr="004278A0" w:rsidR="00AE5669" w:rsidP="0EFAA4EA" w:rsidRDefault="00AE5669" w14:paraId="0562CB0E" w14:textId="77777777">
      <w:pPr>
        <w:spacing w:after="0"/>
        <w:ind w:left="142"/>
        <w:rPr>
          <w:rFonts w:eastAsiaTheme="minorEastAsia"/>
          <w:b/>
          <w:bCs/>
          <w:i/>
          <w:iCs/>
          <w:color w:val="auto"/>
          <w:lang w:eastAsia="en-US"/>
        </w:rPr>
      </w:pPr>
    </w:p>
    <w:p w:rsidR="00C2603C" w:rsidP="0EFAA4EA" w:rsidRDefault="00C2603C" w14:paraId="04389B9F" w14:textId="7CF4FA7E">
      <w:pPr>
        <w:pStyle w:val="bParagraphtext"/>
        <w:rPr>
          <w:rFonts w:eastAsiaTheme="minorEastAsia"/>
          <w:lang w:eastAsia="en-US"/>
        </w:rPr>
      </w:pPr>
      <w:r w:rsidRPr="5FEB26CB" w:rsidR="00C2603C">
        <w:rPr>
          <w:rFonts w:eastAsia="" w:eastAsiaTheme="minorEastAsia"/>
          <w:lang w:eastAsia="en-US"/>
        </w:rPr>
        <w:t xml:space="preserve">Chapter 6 is concerned with policies that respect the city’s heritage and foster high quality design. The approach </w:t>
      </w:r>
      <w:r w:rsidRPr="5FEB26CB" w:rsidR="00CC0603">
        <w:rPr>
          <w:rFonts w:eastAsia="" w:eastAsiaTheme="minorEastAsia"/>
          <w:lang w:eastAsia="en-US"/>
        </w:rPr>
        <w:t>is to conserve and value</w:t>
      </w:r>
      <w:r w:rsidRPr="5FEB26CB" w:rsidR="00C2603C">
        <w:rPr>
          <w:rFonts w:eastAsia="" w:eastAsiaTheme="minorEastAsia"/>
          <w:lang w:eastAsia="en-US"/>
        </w:rPr>
        <w:t xml:space="preserve"> the significance of Oxford’s heritage, and seeks to achieve well-designed, beautiful buildings and public spaces. High-quality design in Oxford is dependent on an understanding of the city’s heritage and managing change in a way that meets future needs whilst ensuring no harm is caused to its important heritage assets. </w:t>
      </w:r>
    </w:p>
    <w:p w:rsidR="003375F4" w:rsidP="00D83D7A" w:rsidRDefault="00C2603C" w14:paraId="69AE1F0F" w14:textId="77777777">
      <w:pPr>
        <w:pStyle w:val="bParagraphtext"/>
        <w:rPr>
          <w:rFonts w:eastAsiaTheme="minorHAnsi"/>
          <w:lang w:eastAsia="en-US"/>
        </w:rPr>
      </w:pPr>
      <w:r w:rsidRPr="5FEB26CB" w:rsidR="00C2603C">
        <w:rPr>
          <w:rFonts w:eastAsia="" w:eastAsiaTheme="minorEastAsia"/>
          <w:lang w:eastAsia="en-US"/>
        </w:rPr>
        <w:t xml:space="preserve">Policy HD1 sets out the criteria for assessing the impacts of new developments in Conservation Areas, being designated heritage assets and the importance of ensuring that they are protected and enhanced. Policy HD2 deals with Listed Buildings and the need for new developments to be informed by heritage assessments to weigh the impacts of proposals on both the significance of listed buildings and their settings. Policy HD3 is concerned with the assessment of new development proposals on Registered Parks and Gardens, as </w:t>
      </w:r>
      <w:r w:rsidRPr="5FEB26CB" w:rsidR="00C2603C">
        <w:rPr>
          <w:rFonts w:eastAsia="" w:eastAsiaTheme="minorEastAsia"/>
          <w:lang w:eastAsia="en-US"/>
        </w:rPr>
        <w:t xml:space="preserve">designated heritage assets. </w:t>
      </w:r>
      <w:r w:rsidRPr="5FEB26CB" w:rsidR="00562FDD">
        <w:rPr>
          <w:rFonts w:eastAsia="" w:eastAsiaTheme="minorEastAsia"/>
          <w:lang w:eastAsia="en-US"/>
        </w:rPr>
        <w:t xml:space="preserve">Whilst Policy HD4 provides criteria for assessing the impact of new developments on a Scheduled Monument. </w:t>
      </w:r>
    </w:p>
    <w:p w:rsidR="006B3BD8" w:rsidP="547EA015" w:rsidRDefault="008A4E08" w14:paraId="003CABE0" w14:textId="351BED10">
      <w:pPr>
        <w:pStyle w:val="bParagraphtext"/>
        <w:rPr>
          <w:rFonts w:eastAsiaTheme="minorEastAsia"/>
          <w:lang w:eastAsia="en-US"/>
        </w:rPr>
      </w:pPr>
      <w:r w:rsidRPr="5FEB26CB" w:rsidR="008A4E08">
        <w:rPr>
          <w:rFonts w:eastAsia="" w:eastAsiaTheme="minorEastAsia"/>
          <w:lang w:eastAsia="en-US"/>
        </w:rPr>
        <w:t xml:space="preserve">Policy HD5 provides criteria for assessing the impact of new developments on archaeological remains in the city centre, allocated sites or areas where archaeological features may be present. Policy HD6 seeks to ensure that new developments do not adversely impact on any </w:t>
      </w:r>
      <w:r w:rsidRPr="5FEB26CB" w:rsidR="009719B9">
        <w:rPr>
          <w:rFonts w:eastAsia="" w:eastAsiaTheme="minorEastAsia"/>
          <w:lang w:eastAsia="en-US"/>
        </w:rPr>
        <w:t>n</w:t>
      </w:r>
      <w:r w:rsidRPr="5FEB26CB" w:rsidR="008A4E08">
        <w:rPr>
          <w:rFonts w:eastAsia="" w:eastAsiaTheme="minorEastAsia"/>
          <w:lang w:eastAsia="en-US"/>
        </w:rPr>
        <w:t xml:space="preserve">on-designated Heritage Assets. Policy HD7 then sets out the principles of high-quality design, which need to show that it is responsive to its context, creates or enhances local distinctiveness &amp; ensure that the amenity of the natural environment is protected. </w:t>
      </w:r>
    </w:p>
    <w:p w:rsidR="007B4F5E" w:rsidP="50D5A4BB" w:rsidRDefault="009534CE" w14:paraId="257C74EB" w14:textId="5F2C24DB">
      <w:pPr>
        <w:pStyle w:val="bParagraphtext"/>
        <w:rPr>
          <w:rFonts w:eastAsia="" w:eastAsiaTheme="minorEastAsia"/>
          <w:lang w:eastAsia="en-US"/>
        </w:rPr>
      </w:pPr>
      <w:r w:rsidRPr="5FEB26CB" w:rsidR="009534CE">
        <w:rPr>
          <w:rFonts w:eastAsia="" w:eastAsiaTheme="minorEastAsia"/>
          <w:lang w:eastAsia="en-US"/>
        </w:rPr>
        <w:t xml:space="preserve">Policy HD8 is concerned with using context to </w:t>
      </w:r>
      <w:r w:rsidRPr="5FEB26CB" w:rsidR="009534CE">
        <w:rPr>
          <w:rFonts w:eastAsia="" w:eastAsiaTheme="minorEastAsia"/>
          <w:lang w:eastAsia="en-US"/>
        </w:rPr>
        <w:t>determine</w:t>
      </w:r>
      <w:r w:rsidRPr="5FEB26CB" w:rsidR="009534CE">
        <w:rPr>
          <w:rFonts w:eastAsia="" w:eastAsiaTheme="minorEastAsia"/>
          <w:lang w:eastAsia="en-US"/>
        </w:rPr>
        <w:t xml:space="preserve"> the </w:t>
      </w:r>
      <w:r w:rsidRPr="5FEB26CB" w:rsidR="009534CE">
        <w:rPr>
          <w:rFonts w:eastAsia="" w:eastAsiaTheme="minorEastAsia"/>
          <w:lang w:eastAsia="en-US"/>
        </w:rPr>
        <w:t>appropriate density</w:t>
      </w:r>
      <w:r w:rsidRPr="5FEB26CB" w:rsidR="009534CE">
        <w:rPr>
          <w:rFonts w:eastAsia="" w:eastAsiaTheme="minorEastAsia"/>
          <w:lang w:eastAsia="en-US"/>
        </w:rPr>
        <w:t xml:space="preserve"> for the development of a site. The policy includes criteria to ensure that a proposal makes the best use of its site </w:t>
      </w:r>
      <w:r w:rsidRPr="5FEB26CB" w:rsidR="009534CE">
        <w:rPr>
          <w:rFonts w:eastAsia="" w:eastAsiaTheme="minorEastAsia"/>
          <w:lang w:eastAsia="en-US"/>
        </w:rPr>
        <w:t>capacity</w:t>
      </w:r>
      <w:r w:rsidRPr="5FEB26CB" w:rsidR="009534CE">
        <w:rPr>
          <w:rFonts w:eastAsia="" w:eastAsiaTheme="minorEastAsia"/>
          <w:lang w:eastAsia="en-US"/>
        </w:rPr>
        <w:t xml:space="preserve">, but </w:t>
      </w:r>
      <w:r w:rsidRPr="5FEB26CB" w:rsidR="009534CE">
        <w:rPr>
          <w:rFonts w:eastAsia="" w:eastAsiaTheme="minorEastAsia"/>
          <w:lang w:eastAsia="en-US"/>
        </w:rPr>
        <w:t>properly reflects</w:t>
      </w:r>
      <w:r w:rsidRPr="5FEB26CB" w:rsidR="009534CE">
        <w:rPr>
          <w:rFonts w:eastAsia="" w:eastAsiaTheme="minorEastAsia"/>
          <w:lang w:eastAsia="en-US"/>
        </w:rPr>
        <w:t xml:space="preserve"> its context &amp; place in Oxford, in terms of scale, layout &amp; density. Policy HD9 then goes on to assess views &amp; building heights. It </w:t>
      </w:r>
      <w:r w:rsidRPr="5FEB26CB" w:rsidR="009534CE">
        <w:rPr>
          <w:rFonts w:eastAsia="" w:eastAsiaTheme="minorEastAsia"/>
          <w:lang w:eastAsia="en-US"/>
        </w:rPr>
        <w:t>seeks</w:t>
      </w:r>
      <w:r w:rsidRPr="5FEB26CB" w:rsidR="009534CE">
        <w:rPr>
          <w:rFonts w:eastAsia="" w:eastAsiaTheme="minorEastAsia"/>
          <w:lang w:eastAsia="en-US"/>
        </w:rPr>
        <w:t xml:space="preserve"> to </w:t>
      </w:r>
      <w:r w:rsidRPr="5FEB26CB" w:rsidR="422AAEFD">
        <w:rPr>
          <w:rFonts w:eastAsia="" w:eastAsiaTheme="minorEastAsia"/>
          <w:lang w:eastAsia="en-US"/>
        </w:rPr>
        <w:t xml:space="preserve">ensure </w:t>
      </w:r>
      <w:r w:rsidRPr="5FEB26CB" w:rsidR="009534CE">
        <w:rPr>
          <w:rFonts w:eastAsia="" w:eastAsiaTheme="minorEastAsia"/>
          <w:lang w:eastAsia="en-US"/>
        </w:rPr>
        <w:t>development retain</w:t>
      </w:r>
      <w:r w:rsidRPr="5FEB26CB" w:rsidR="02688766">
        <w:rPr>
          <w:rFonts w:eastAsia="" w:eastAsiaTheme="minorEastAsia"/>
          <w:lang w:eastAsia="en-US"/>
        </w:rPr>
        <w:t>s</w:t>
      </w:r>
      <w:r w:rsidRPr="5FEB26CB" w:rsidR="009534CE">
        <w:rPr>
          <w:rFonts w:eastAsia="" w:eastAsiaTheme="minorEastAsia"/>
          <w:lang w:eastAsia="en-US"/>
        </w:rPr>
        <w:t xml:space="preserve"> the </w:t>
      </w:r>
      <w:r w:rsidRPr="5FEB26CB" w:rsidR="54E8F397">
        <w:rPr>
          <w:rFonts w:eastAsia="" w:eastAsiaTheme="minorEastAsia"/>
          <w:lang w:eastAsia="en-US"/>
        </w:rPr>
        <w:t xml:space="preserve">significance of the </w:t>
      </w:r>
      <w:r w:rsidRPr="5FEB26CB" w:rsidR="009534CE">
        <w:rPr>
          <w:rFonts w:eastAsia="" w:eastAsiaTheme="minorEastAsia"/>
          <w:lang w:eastAsia="en-US"/>
        </w:rPr>
        <w:t>historic skyline</w:t>
      </w:r>
      <w:r w:rsidRPr="5FEB26CB" w:rsidR="5C2C3286">
        <w:rPr>
          <w:rFonts w:eastAsia="" w:eastAsiaTheme="minorEastAsia"/>
          <w:lang w:eastAsia="en-US"/>
        </w:rPr>
        <w:t xml:space="preserve"> and views to it and from it</w:t>
      </w:r>
      <w:r w:rsidRPr="5FEB26CB" w:rsidR="009534CE">
        <w:rPr>
          <w:rFonts w:eastAsia="" w:eastAsiaTheme="minorEastAsia"/>
          <w:lang w:eastAsia="en-US"/>
        </w:rPr>
        <w:t xml:space="preserve">. Detailed assessments will be required for developments that </w:t>
      </w:r>
      <w:r w:rsidRPr="5FEB26CB" w:rsidR="5B4F89FB">
        <w:rPr>
          <w:rFonts w:eastAsia="" w:eastAsiaTheme="minorEastAsia"/>
          <w:lang w:eastAsia="en-US"/>
        </w:rPr>
        <w:t>may be impactful because of their height</w:t>
      </w:r>
      <w:r w:rsidRPr="5FEB26CB" w:rsidR="009534CE">
        <w:rPr>
          <w:rFonts w:eastAsia="" w:eastAsiaTheme="minorEastAsia"/>
          <w:lang w:eastAsia="en-US"/>
        </w:rPr>
        <w:t xml:space="preserve">. </w:t>
      </w:r>
    </w:p>
    <w:p w:rsidR="00AE5669" w:rsidP="547EA015" w:rsidRDefault="007B4F5E" w14:paraId="541A270E" w14:textId="0ABC5993">
      <w:pPr>
        <w:pStyle w:val="bParagraphtext"/>
        <w:rPr>
          <w:rFonts w:eastAsiaTheme="minorEastAsia"/>
          <w:lang w:eastAsia="en-US"/>
        </w:rPr>
      </w:pPr>
      <w:r w:rsidRPr="5FEB26CB" w:rsidR="007B4F5E">
        <w:rPr>
          <w:rFonts w:eastAsia="" w:eastAsiaTheme="minorEastAsia"/>
          <w:lang w:eastAsia="en-US"/>
        </w:rPr>
        <w:t xml:space="preserve">Additional policies focus on the well-being of new &amp; surrounding </w:t>
      </w:r>
      <w:r w:rsidRPr="5FEB26CB" w:rsidR="6C79B4FD">
        <w:rPr>
          <w:rFonts w:eastAsia="" w:eastAsiaTheme="minorEastAsia"/>
          <w:lang w:eastAsia="en-US"/>
        </w:rPr>
        <w:t>occupants</w:t>
      </w:r>
      <w:r w:rsidRPr="5FEB26CB" w:rsidR="00556F73">
        <w:rPr>
          <w:rFonts w:eastAsia="" w:eastAsiaTheme="minorEastAsia"/>
          <w:lang w:eastAsia="en-US"/>
        </w:rPr>
        <w:t xml:space="preserve">, including the need for a Health Impact Assessment for larger developments, </w:t>
      </w:r>
      <w:r w:rsidRPr="5FEB26CB" w:rsidR="00322E8A">
        <w:rPr>
          <w:rFonts w:eastAsia="" w:eastAsiaTheme="minorEastAsia"/>
          <w:lang w:eastAsia="en-US"/>
        </w:rPr>
        <w:t xml:space="preserve">and </w:t>
      </w:r>
      <w:r w:rsidRPr="5FEB26CB" w:rsidR="00556F73">
        <w:rPr>
          <w:rFonts w:eastAsia="" w:eastAsiaTheme="minorEastAsia"/>
          <w:lang w:eastAsia="en-US"/>
        </w:rPr>
        <w:t xml:space="preserve">that proposals meet privacy, daylight &amp; sunlight requirements &amp; internal </w:t>
      </w:r>
      <w:r w:rsidRPr="5FEB26CB" w:rsidR="00322E8A">
        <w:rPr>
          <w:rFonts w:eastAsia="" w:eastAsiaTheme="minorEastAsia"/>
          <w:lang w:eastAsia="en-US"/>
        </w:rPr>
        <w:t xml:space="preserve">&amp; external </w:t>
      </w:r>
      <w:r w:rsidRPr="5FEB26CB" w:rsidR="00556F73">
        <w:rPr>
          <w:rFonts w:eastAsia="" w:eastAsiaTheme="minorEastAsia"/>
          <w:lang w:eastAsia="en-US"/>
        </w:rPr>
        <w:t xml:space="preserve">space standards. </w:t>
      </w:r>
      <w:r w:rsidRPr="5FEB26CB" w:rsidR="007B4F5E">
        <w:rPr>
          <w:rFonts w:eastAsia="" w:eastAsiaTheme="minorEastAsia"/>
          <w:lang w:eastAsia="en-US"/>
        </w:rPr>
        <w:t xml:space="preserve"> </w:t>
      </w:r>
      <w:r w:rsidRPr="5FEB26CB" w:rsidR="009534CE">
        <w:rPr>
          <w:rFonts w:eastAsia="" w:eastAsiaTheme="minorEastAsia"/>
          <w:lang w:eastAsia="en-US"/>
        </w:rPr>
        <w:t xml:space="preserve">  </w:t>
      </w:r>
      <w:r w:rsidRPr="5FEB26CB" w:rsidR="00C2603C">
        <w:rPr>
          <w:rFonts w:eastAsia="" w:eastAsiaTheme="minorEastAsia"/>
          <w:lang w:eastAsia="en-US"/>
        </w:rPr>
        <w:t xml:space="preserve">  </w:t>
      </w:r>
    </w:p>
    <w:p w:rsidR="00822793" w:rsidP="00822793" w:rsidRDefault="00822793" w14:paraId="7DDE890A" w14:textId="77777777">
      <w:pPr>
        <w:spacing w:after="0"/>
        <w:ind w:left="142"/>
        <w:rPr>
          <w:rFonts w:eastAsiaTheme="minorHAnsi"/>
          <w:b/>
          <w:i/>
          <w:color w:val="auto"/>
          <w:lang w:eastAsia="en-US"/>
        </w:rPr>
      </w:pPr>
      <w:r w:rsidRPr="004278A0">
        <w:rPr>
          <w:rFonts w:eastAsiaTheme="minorHAnsi"/>
          <w:b/>
          <w:i/>
          <w:color w:val="auto"/>
          <w:lang w:eastAsia="en-US"/>
        </w:rPr>
        <w:t xml:space="preserve">A </w:t>
      </w:r>
      <w:r>
        <w:rPr>
          <w:rFonts w:eastAsiaTheme="minorHAnsi"/>
          <w:b/>
          <w:i/>
          <w:color w:val="auto"/>
          <w:lang w:eastAsia="en-US"/>
        </w:rPr>
        <w:t>liveable city with strong communities and opportunities for all</w:t>
      </w:r>
    </w:p>
    <w:p w:rsidR="000E1091" w:rsidP="00822793" w:rsidRDefault="000E1091" w14:paraId="34CE0A41" w14:textId="77777777">
      <w:pPr>
        <w:spacing w:after="0"/>
        <w:ind w:left="142"/>
        <w:rPr>
          <w:rFonts w:eastAsiaTheme="minorHAnsi"/>
          <w:b/>
          <w:i/>
          <w:color w:val="auto"/>
          <w:lang w:eastAsia="en-US"/>
        </w:rPr>
      </w:pPr>
    </w:p>
    <w:p w:rsidRPr="00F10F89" w:rsidR="00F10F89" w:rsidP="50D5A4BB" w:rsidRDefault="000707EE" w14:paraId="2AB576AC" w14:textId="1A685A2C">
      <w:pPr>
        <w:pStyle w:val="bParagraphtext"/>
        <w:rPr>
          <w:rFonts w:eastAsia="Calibri" w:eastAsiaTheme="minorAscii"/>
          <w:lang w:eastAsia="en-US"/>
        </w:rPr>
      </w:pPr>
      <w:r w:rsidRPr="5FEB26CB" w:rsidR="000707EE">
        <w:rPr>
          <w:rFonts w:eastAsia="" w:cs="Arial" w:eastAsiaTheme="minorEastAsia"/>
          <w:color w:val="auto"/>
          <w:lang w:eastAsia="en-US"/>
        </w:rPr>
        <w:t xml:space="preserve">Chapter 7 explains that </w:t>
      </w:r>
      <w:r w:rsidRPr="5FEB26CB" w:rsidR="00F10F89">
        <w:rPr>
          <w:rFonts w:eastAsia="" w:cs="Arial" w:eastAsiaTheme="minorEastAsia"/>
          <w:color w:val="auto"/>
          <w:lang w:eastAsia="en-US"/>
        </w:rPr>
        <w:t xml:space="preserve">Oxford is a liveable and accessible city with a range of services within a 15-20 min walk or cycle ride. The city has a good public transport network that </w:t>
      </w:r>
      <w:r w:rsidRPr="5FEB26CB" w:rsidR="00F10F89">
        <w:rPr>
          <w:rFonts w:eastAsia="" w:cs="Arial" w:eastAsiaTheme="minorEastAsia"/>
          <w:color w:val="auto"/>
          <w:lang w:eastAsia="en-US"/>
        </w:rPr>
        <w:t>provides</w:t>
      </w:r>
      <w:r w:rsidRPr="5FEB26CB" w:rsidR="00F10F89">
        <w:rPr>
          <w:rFonts w:eastAsia="" w:cs="Arial" w:eastAsiaTheme="minorEastAsia"/>
          <w:color w:val="auto"/>
          <w:lang w:eastAsia="en-US"/>
        </w:rPr>
        <w:t xml:space="preserve"> access to other key areas of the city further away. Policy C1 sets out the hierarchy of centres. The policy approach is to focus town centre uses in the city and district centres, supporting liveable neighbourhoods. Whilst local centres help to provide local services together with community facilities. </w:t>
      </w:r>
      <w:r w:rsidRPr="5FEB26CB" w:rsidR="10D891E8">
        <w:rPr>
          <w:rFonts w:eastAsia="" w:cs="Arial" w:eastAsiaTheme="minorEastAsia"/>
          <w:color w:val="auto"/>
          <w:lang w:eastAsia="en-US"/>
        </w:rPr>
        <w:t xml:space="preserve">Any town centre uses, which is a use that attracts people to it, should be directed first to city and district centres, then to sites </w:t>
      </w:r>
      <w:r w:rsidRPr="5FEB26CB" w:rsidR="10D891E8">
        <w:rPr>
          <w:rFonts w:eastAsia="" w:cs="Arial" w:eastAsiaTheme="minorEastAsia"/>
          <w:color w:val="auto"/>
          <w:lang w:eastAsia="en-US"/>
        </w:rPr>
        <w:t>adjacent to</w:t>
      </w:r>
      <w:r w:rsidRPr="5FEB26CB" w:rsidR="10D891E8">
        <w:rPr>
          <w:rFonts w:eastAsia="" w:cs="Arial" w:eastAsiaTheme="minorEastAsia"/>
          <w:color w:val="auto"/>
          <w:lang w:eastAsia="en-US"/>
        </w:rPr>
        <w:t xml:space="preserve"> them and only elsewhere if it can be </w:t>
      </w:r>
      <w:r w:rsidRPr="5FEB26CB" w:rsidR="10D891E8">
        <w:rPr>
          <w:rFonts w:eastAsia="" w:cs="Arial" w:eastAsiaTheme="minorEastAsia"/>
          <w:color w:val="auto"/>
          <w:lang w:eastAsia="en-US"/>
        </w:rPr>
        <w:t>demonstrated</w:t>
      </w:r>
      <w:r w:rsidRPr="5FEB26CB" w:rsidR="10D891E8">
        <w:rPr>
          <w:rFonts w:eastAsia="" w:cs="Arial" w:eastAsiaTheme="minorEastAsia"/>
          <w:color w:val="auto"/>
          <w:lang w:eastAsia="en-US"/>
        </w:rPr>
        <w:t xml:space="preserve"> there are no alternatives. </w:t>
      </w:r>
      <w:r w:rsidRPr="5FEB26CB" w:rsidR="00F10F89">
        <w:rPr>
          <w:rFonts w:eastAsia="" w:cs="Arial" w:eastAsiaTheme="minorEastAsia"/>
          <w:color w:val="auto"/>
          <w:lang w:eastAsia="en-US"/>
        </w:rPr>
        <w:t xml:space="preserve">Policy </w:t>
      </w:r>
      <w:r w:rsidRPr="5FEB26CB" w:rsidR="00F10F89">
        <w:rPr>
          <w:rFonts w:eastAsia="" w:cs="Arial" w:eastAsiaTheme="minorEastAsia"/>
          <w:color w:val="auto"/>
          <w:lang w:eastAsia="en-US"/>
        </w:rPr>
        <w:t>C2</w:t>
      </w:r>
      <w:r w:rsidRPr="5FEB26CB" w:rsidR="00F10F89">
        <w:rPr>
          <w:rFonts w:eastAsia="" w:cs="Arial" w:eastAsiaTheme="minorEastAsia"/>
          <w:color w:val="auto"/>
          <w:lang w:eastAsia="en-US"/>
        </w:rPr>
        <w:t xml:space="preserve"> </w:t>
      </w:r>
      <w:r w:rsidRPr="5FEB26CB" w:rsidR="00F10F89">
        <w:rPr>
          <w:rFonts w:eastAsia="" w:cs="Arial" w:eastAsiaTheme="minorEastAsia"/>
          <w:color w:val="auto"/>
          <w:lang w:eastAsia="en-US"/>
        </w:rPr>
        <w:t>seeks</w:t>
      </w:r>
      <w:r w:rsidRPr="5FEB26CB" w:rsidR="00F10F89">
        <w:rPr>
          <w:rFonts w:eastAsia="" w:cs="Arial" w:eastAsiaTheme="minorEastAsia"/>
          <w:color w:val="auto"/>
          <w:lang w:eastAsia="en-US"/>
        </w:rPr>
        <w:t xml:space="preserve"> to </w:t>
      </w:r>
      <w:r w:rsidRPr="5FEB26CB" w:rsidR="00F10F89">
        <w:rPr>
          <w:rFonts w:eastAsia="" w:cs="Arial" w:eastAsiaTheme="minorEastAsia"/>
          <w:color w:val="auto"/>
          <w:lang w:eastAsia="en-US"/>
        </w:rPr>
        <w:t>maintain</w:t>
      </w:r>
      <w:r w:rsidRPr="5FEB26CB" w:rsidR="00F10F89">
        <w:rPr>
          <w:rFonts w:eastAsia="" w:cs="Arial" w:eastAsiaTheme="minorEastAsia"/>
          <w:color w:val="auto"/>
          <w:lang w:eastAsia="en-US"/>
        </w:rPr>
        <w:t xml:space="preserve"> vibrant centres &amp; provides </w:t>
      </w:r>
      <w:r w:rsidRPr="5FEB26CB" w:rsidR="3636F267">
        <w:rPr>
          <w:rFonts w:eastAsia="" w:cs="Arial" w:eastAsiaTheme="minorEastAsia"/>
          <w:color w:val="auto"/>
          <w:lang w:eastAsia="en-US"/>
        </w:rPr>
        <w:t xml:space="preserve">general </w:t>
      </w:r>
      <w:r w:rsidRPr="5FEB26CB" w:rsidR="00F10F89">
        <w:rPr>
          <w:rFonts w:eastAsia="" w:cs="Arial" w:eastAsiaTheme="minorEastAsia"/>
          <w:color w:val="auto"/>
          <w:lang w:eastAsia="en-US"/>
        </w:rPr>
        <w:t xml:space="preserve">design principles to guide future development and promote vitality and viability. The policy aims to </w:t>
      </w:r>
      <w:r w:rsidRPr="5FEB26CB" w:rsidR="00F10F89">
        <w:rPr>
          <w:rFonts w:eastAsia="" w:cs="Arial" w:eastAsiaTheme="minorEastAsia"/>
          <w:color w:val="auto"/>
          <w:lang w:eastAsia="en-US"/>
        </w:rPr>
        <w:t>retain</w:t>
      </w:r>
      <w:r w:rsidRPr="5FEB26CB" w:rsidR="00F10F89">
        <w:rPr>
          <w:rFonts w:eastAsia="" w:cs="Arial" w:eastAsiaTheme="minorEastAsia"/>
          <w:color w:val="auto"/>
          <w:lang w:eastAsia="en-US"/>
        </w:rPr>
        <w:t xml:space="preserve"> active frontages, which support a balanced mix of uses. </w:t>
      </w:r>
    </w:p>
    <w:p w:rsidRPr="00B81AE3" w:rsidR="00B81AE3" w:rsidP="547EA015" w:rsidRDefault="008F3DE1" w14:paraId="0786EDFA" w14:textId="6052FEE5">
      <w:pPr>
        <w:pStyle w:val="bParagraphtext"/>
        <w:rPr>
          <w:rFonts w:eastAsiaTheme="minorEastAsia"/>
          <w:lang w:eastAsia="en-US"/>
        </w:rPr>
      </w:pPr>
      <w:r w:rsidRPr="5FEB26CB" w:rsidR="008F3DE1">
        <w:rPr>
          <w:rFonts w:eastAsia="" w:cs="Arial" w:eastAsiaTheme="minorEastAsia"/>
          <w:color w:val="auto"/>
          <w:lang w:eastAsia="en-US"/>
        </w:rPr>
        <w:t>Policy C3 aims to protect existing local community facilities and support improvements</w:t>
      </w:r>
      <w:r w:rsidRPr="5FEB26CB" w:rsidR="00332B7B">
        <w:rPr>
          <w:rFonts w:cs="Arial"/>
        </w:rPr>
        <w:t xml:space="preserve"> </w:t>
      </w:r>
      <w:r w:rsidRPr="5FEB26CB" w:rsidR="008F3DE1">
        <w:rPr>
          <w:rFonts w:cs="Arial"/>
        </w:rPr>
        <w:t>to make more intensive use of existing sites</w:t>
      </w:r>
      <w:r w:rsidRPr="5FEB26CB" w:rsidR="72E04B61">
        <w:rPr>
          <w:rFonts w:cs="Arial"/>
        </w:rPr>
        <w:t>, w</w:t>
      </w:r>
      <w:r w:rsidRPr="5FEB26CB" w:rsidR="008F3DE1">
        <w:rPr>
          <w:rFonts w:cs="Arial"/>
        </w:rPr>
        <w:t>hilst Policy C4 recognises the importance of schools, libraries and places of worship and seeks to protect them and support their improvement. Their loss would only be supported in circumstances where it was no longer required to meet community needs</w:t>
      </w:r>
      <w:r w:rsidRPr="5FEB26CB" w:rsidR="23B4D56D">
        <w:rPr>
          <w:rFonts w:cs="Arial"/>
        </w:rPr>
        <w:t>, or where alternative facilities can be provided</w:t>
      </w:r>
      <w:r w:rsidRPr="5FEB26CB" w:rsidR="008F3DE1">
        <w:rPr>
          <w:rFonts w:cs="Arial"/>
        </w:rPr>
        <w:t xml:space="preserve">. Policy C5 is concerned with the protection of existing cultural, social and visitor attractions, but supports in principle their alteration, subject to criteria, and the provision of new cultural venues and visitor attractions in appropriate locations. </w:t>
      </w:r>
    </w:p>
    <w:p w:rsidRPr="00D608F1" w:rsidR="00D608F1" w:rsidP="0EFAA4EA" w:rsidRDefault="008758A0" w14:paraId="6862F59C" w14:textId="5D9A2159">
      <w:pPr>
        <w:pStyle w:val="bParagraphtext"/>
        <w:rPr>
          <w:rFonts w:eastAsiaTheme="minorEastAsia"/>
          <w:lang w:eastAsia="en-US"/>
        </w:rPr>
      </w:pPr>
      <w:r w:rsidRPr="5FEB26CB" w:rsidR="008758A0">
        <w:rPr>
          <w:rFonts w:eastAsia="" w:cs="Arial" w:eastAsiaTheme="minorEastAsia"/>
          <w:color w:val="auto"/>
          <w:lang w:eastAsia="en-US"/>
        </w:rPr>
        <w:t>The transport and movement strategy of the Plan seeks to reduce the need to travel, promote active travel</w:t>
      </w:r>
      <w:r w:rsidRPr="5FEB26CB" w:rsidR="006F1F9A">
        <w:rPr>
          <w:rFonts w:eastAsia="" w:cs="Arial" w:eastAsiaTheme="minorEastAsia"/>
          <w:color w:val="auto"/>
          <w:lang w:eastAsia="en-US"/>
        </w:rPr>
        <w:t>,</w:t>
      </w:r>
      <w:r w:rsidRPr="5FEB26CB" w:rsidR="008758A0">
        <w:rPr>
          <w:rFonts w:eastAsia="" w:cs="Arial" w:eastAsiaTheme="minorEastAsia"/>
          <w:color w:val="auto"/>
          <w:lang w:eastAsia="en-US"/>
        </w:rPr>
        <w:t xml:space="preserve"> public transport &amp; support the </w:t>
      </w:r>
      <w:r w:rsidRPr="5FEB26CB" w:rsidR="008758A0">
        <w:rPr>
          <w:rFonts w:eastAsia="" w:cs="Arial" w:eastAsiaTheme="minorEastAsia"/>
          <w:color w:val="auto"/>
          <w:lang w:eastAsia="en-US"/>
        </w:rPr>
        <w:t>implementation of the County Council’s Core Schemes</w:t>
      </w:r>
      <w:r w:rsidRPr="5FEB26CB" w:rsidR="73E0954E">
        <w:rPr>
          <w:rFonts w:eastAsia="" w:cs="Arial" w:eastAsiaTheme="minorEastAsia"/>
          <w:color w:val="auto"/>
          <w:lang w:eastAsia="en-US"/>
        </w:rPr>
        <w:t xml:space="preserve"> of the Central Oxfordshire Travel Plan</w:t>
      </w:r>
      <w:r w:rsidRPr="5FEB26CB" w:rsidR="008758A0">
        <w:rPr>
          <w:rFonts w:eastAsia="" w:cs="Arial" w:eastAsiaTheme="minorEastAsia"/>
          <w:color w:val="auto"/>
          <w:lang w:eastAsia="en-US"/>
        </w:rPr>
        <w:t xml:space="preserve">. Policy C6 requires major new development proposals to optimise active travel &amp; public transport opportunities and aim to limit the increase in car journeys which would add to air pollution &amp; congestion across the city. This policy approach therefore supports the need for major proposals to submit Transport Assessments and Travel Plans in line with published County Council guidance; together with advice set out in the Street Design Guide. </w:t>
      </w:r>
      <w:r w:rsidRPr="5FEB26CB" w:rsidR="005618DB">
        <w:rPr>
          <w:rFonts w:eastAsia="" w:cs="Arial" w:eastAsiaTheme="minorEastAsia"/>
          <w:color w:val="auto"/>
          <w:lang w:eastAsia="en-US"/>
        </w:rPr>
        <w:t xml:space="preserve">Parking design standards for bicycles &amp; powered two wheelers and motor vehicles are set out in Policies C7 &amp; C8. Whilst Policy C9 provides advice on electric vehicle charging. </w:t>
      </w:r>
    </w:p>
    <w:p w:rsidR="00D608F1" w:rsidP="00D608F1" w:rsidRDefault="00D608F1" w14:paraId="08B56E29" w14:textId="77777777">
      <w:pPr>
        <w:spacing w:after="0"/>
        <w:ind w:left="142"/>
        <w:rPr>
          <w:rFonts w:eastAsiaTheme="minorHAnsi"/>
          <w:b/>
          <w:i/>
          <w:color w:val="auto"/>
          <w:lang w:eastAsia="en-US"/>
        </w:rPr>
      </w:pPr>
      <w:r>
        <w:rPr>
          <w:rFonts w:eastAsiaTheme="minorHAnsi"/>
          <w:b/>
          <w:i/>
          <w:color w:val="auto"/>
          <w:lang w:eastAsia="en-US"/>
        </w:rPr>
        <w:t>Development sites, Areas of Focus and Infrastructure</w:t>
      </w:r>
    </w:p>
    <w:p w:rsidRPr="00D608F1" w:rsidR="00D608F1" w:rsidP="00D608F1" w:rsidRDefault="00D608F1" w14:paraId="62EBF3C5" w14:textId="77777777">
      <w:pPr>
        <w:pStyle w:val="bParagraphtext"/>
        <w:numPr>
          <w:ilvl w:val="0"/>
          <w:numId w:val="0"/>
        </w:numPr>
        <w:ind w:left="502" w:hanging="360"/>
        <w:rPr>
          <w:rFonts w:eastAsiaTheme="minorHAnsi"/>
          <w:lang w:eastAsia="en-US"/>
        </w:rPr>
      </w:pPr>
    </w:p>
    <w:p w:rsidRPr="00F96760" w:rsidR="00F96760" w:rsidP="22F9550C" w:rsidRDefault="00D608F1" w14:paraId="144CD2BB" w14:textId="334E7298">
      <w:pPr>
        <w:pStyle w:val="bParagraphtext"/>
        <w:rPr>
          <w:rFonts w:eastAsiaTheme="minorEastAsia"/>
          <w:lang w:eastAsia="en-US"/>
        </w:rPr>
      </w:pPr>
      <w:r w:rsidRPr="5FEB26CB" w:rsidR="00D608F1">
        <w:rPr>
          <w:rFonts w:eastAsia="" w:cs="Arial" w:eastAsiaTheme="minorEastAsia"/>
          <w:color w:val="auto"/>
          <w:lang w:eastAsia="en-US"/>
        </w:rPr>
        <w:t xml:space="preserve">Chapter 8 is concerned with Development sites, Areas of Focus and Infrastructure delivery. </w:t>
      </w:r>
      <w:r w:rsidRPr="5FEB26CB" w:rsidR="74207C06">
        <w:rPr>
          <w:rFonts w:eastAsia="" w:cs="Arial" w:eastAsiaTheme="minorEastAsia"/>
          <w:color w:val="auto"/>
          <w:lang w:eastAsia="en-US"/>
        </w:rPr>
        <w:t>Development s</w:t>
      </w:r>
      <w:r w:rsidRPr="5FEB26CB" w:rsidR="008D5ED1">
        <w:rPr>
          <w:rFonts w:eastAsia="" w:cs="Arial" w:eastAsiaTheme="minorEastAsia"/>
          <w:color w:val="auto"/>
          <w:lang w:eastAsia="en-US"/>
        </w:rPr>
        <w:t>ite allocation policies provide advice on what type of land use, or mix of uses is acceptable on a specific site. This positive approach ensures that the right type and amount of development</w:t>
      </w:r>
      <w:r w:rsidRPr="5FEB26CB" w:rsidR="005618DB">
        <w:rPr>
          <w:rFonts w:eastAsia="" w:cs="Arial" w:eastAsiaTheme="minorEastAsia"/>
          <w:color w:val="auto"/>
          <w:lang w:eastAsia="en-US"/>
        </w:rPr>
        <w:t xml:space="preserve"> </w:t>
      </w:r>
      <w:r w:rsidRPr="5FEB26CB" w:rsidR="008D5ED1">
        <w:rPr>
          <w:rFonts w:eastAsia="" w:cs="Arial" w:eastAsiaTheme="minorEastAsia"/>
          <w:color w:val="auto"/>
          <w:lang w:eastAsia="en-US"/>
        </w:rPr>
        <w:t>happens in the right place in accordance with the strategy of this Plan &amp; NPPF</w:t>
      </w:r>
      <w:r w:rsidRPr="5FEB26CB" w:rsidR="006F1F9A">
        <w:rPr>
          <w:rFonts w:eastAsia="" w:cs="Arial" w:eastAsiaTheme="minorEastAsia"/>
          <w:color w:val="auto"/>
          <w:lang w:eastAsia="en-US"/>
        </w:rPr>
        <w:t xml:space="preserve"> </w:t>
      </w:r>
      <w:r w:rsidRPr="5FEB26CB" w:rsidR="00CC0603">
        <w:rPr>
          <w:rFonts w:eastAsia="" w:cs="Arial" w:eastAsiaTheme="minorEastAsia"/>
          <w:color w:val="auto"/>
          <w:lang w:eastAsia="en-US"/>
        </w:rPr>
        <w:t>policy</w:t>
      </w:r>
      <w:r w:rsidRPr="5FEB26CB" w:rsidR="006F1F9A">
        <w:rPr>
          <w:rFonts w:eastAsia="" w:cs="Arial" w:eastAsiaTheme="minorEastAsia"/>
          <w:color w:val="auto"/>
          <w:lang w:eastAsia="en-US"/>
        </w:rPr>
        <w:t>.</w:t>
      </w:r>
      <w:r w:rsidRPr="5FEB26CB" w:rsidR="008D5ED1">
        <w:rPr>
          <w:rFonts w:eastAsia="" w:cs="Arial" w:eastAsiaTheme="minorEastAsia"/>
          <w:color w:val="auto"/>
          <w:lang w:eastAsia="en-US"/>
        </w:rPr>
        <w:t xml:space="preserve"> In response to emerging national government proposals the content of these policies includes greater detail than in previous Plans. </w:t>
      </w:r>
      <w:r w:rsidRPr="5FEB26CB" w:rsidR="00151AAE">
        <w:rPr>
          <w:rFonts w:eastAsia="" w:cs="Arial" w:eastAsiaTheme="minorEastAsia"/>
          <w:color w:val="auto"/>
          <w:lang w:eastAsia="en-US"/>
        </w:rPr>
        <w:t xml:space="preserve">There are </w:t>
      </w:r>
      <w:r w:rsidRPr="5FEB26CB" w:rsidR="3F22730E">
        <w:rPr>
          <w:rFonts w:eastAsia="" w:cs="Arial" w:eastAsiaTheme="minorEastAsia"/>
          <w:color w:val="auto"/>
          <w:lang w:eastAsia="en-US"/>
        </w:rPr>
        <w:t xml:space="preserve">five </w:t>
      </w:r>
      <w:r w:rsidRPr="5FEB26CB" w:rsidR="00151AAE">
        <w:rPr>
          <w:rFonts w:eastAsia="" w:cs="Arial" w:eastAsiaTheme="minorEastAsia"/>
          <w:color w:val="auto"/>
          <w:lang w:eastAsia="en-US"/>
        </w:rPr>
        <w:t>‘Areas of Focus’ defined across the city</w:t>
      </w:r>
      <w:r w:rsidRPr="5FEB26CB" w:rsidR="36FFAA95">
        <w:rPr>
          <w:rFonts w:eastAsia="" w:cs="Arial" w:eastAsiaTheme="minorEastAsia"/>
          <w:color w:val="auto"/>
          <w:lang w:eastAsia="en-US"/>
        </w:rPr>
        <w:t xml:space="preserve"> (</w:t>
      </w:r>
      <w:r w:rsidRPr="5FEB26CB" w:rsidR="6D0BF5E7">
        <w:rPr>
          <w:rFonts w:eastAsia="" w:cs="Arial" w:eastAsiaTheme="minorEastAsia"/>
          <w:color w:val="auto"/>
          <w:lang w:eastAsia="en-US"/>
        </w:rPr>
        <w:t>N</w:t>
      </w:r>
      <w:r w:rsidRPr="5FEB26CB" w:rsidR="5A6A9DF7">
        <w:rPr>
          <w:rFonts w:eastAsia="" w:cs="Arial" w:eastAsiaTheme="minorEastAsia"/>
          <w:color w:val="auto"/>
          <w:lang w:eastAsia="en-US"/>
        </w:rPr>
        <w:t xml:space="preserve">orthern </w:t>
      </w:r>
      <w:r w:rsidRPr="5FEB26CB" w:rsidR="5944B148">
        <w:rPr>
          <w:rFonts w:eastAsia="" w:cs="Arial" w:eastAsiaTheme="minorEastAsia"/>
          <w:color w:val="auto"/>
          <w:lang w:eastAsia="en-US"/>
        </w:rPr>
        <w:t>E</w:t>
      </w:r>
      <w:r w:rsidRPr="5FEB26CB" w:rsidR="5A6A9DF7">
        <w:rPr>
          <w:rFonts w:eastAsia="" w:cs="Arial" w:eastAsiaTheme="minorEastAsia"/>
          <w:color w:val="auto"/>
          <w:lang w:eastAsia="en-US"/>
        </w:rPr>
        <w:t xml:space="preserve">dge of Oxford, </w:t>
      </w:r>
      <w:r w:rsidRPr="5FEB26CB" w:rsidR="2791B1A8">
        <w:rPr>
          <w:rFonts w:eastAsia="" w:cs="Arial" w:eastAsiaTheme="minorEastAsia"/>
          <w:color w:val="auto"/>
          <w:lang w:eastAsia="en-US"/>
        </w:rPr>
        <w:t>N</w:t>
      </w:r>
      <w:r w:rsidRPr="5FEB26CB" w:rsidR="5A6A9DF7">
        <w:rPr>
          <w:rFonts w:eastAsia="" w:cs="Arial" w:eastAsiaTheme="minorEastAsia"/>
          <w:color w:val="auto"/>
          <w:lang w:eastAsia="en-US"/>
        </w:rPr>
        <w:t xml:space="preserve">orth of the </w:t>
      </w:r>
      <w:r w:rsidRPr="5FEB26CB" w:rsidR="5CB82AE1">
        <w:rPr>
          <w:rFonts w:eastAsia="" w:cs="Arial" w:eastAsiaTheme="minorEastAsia"/>
          <w:color w:val="auto"/>
          <w:lang w:eastAsia="en-US"/>
        </w:rPr>
        <w:t>C</w:t>
      </w:r>
      <w:r w:rsidRPr="5FEB26CB" w:rsidR="5A6A9DF7">
        <w:rPr>
          <w:rFonts w:eastAsia="" w:cs="Arial" w:eastAsiaTheme="minorEastAsia"/>
          <w:color w:val="auto"/>
          <w:lang w:eastAsia="en-US"/>
        </w:rPr>
        <w:t xml:space="preserve">ity </w:t>
      </w:r>
      <w:r w:rsidRPr="5FEB26CB" w:rsidR="3FE1F032">
        <w:rPr>
          <w:rFonts w:eastAsia="" w:cs="Arial" w:eastAsiaTheme="minorEastAsia"/>
          <w:color w:val="auto"/>
          <w:lang w:eastAsia="en-US"/>
        </w:rPr>
        <w:t>C</w:t>
      </w:r>
      <w:r w:rsidRPr="5FEB26CB" w:rsidR="5A6A9DF7">
        <w:rPr>
          <w:rFonts w:eastAsia="" w:cs="Arial" w:eastAsiaTheme="minorEastAsia"/>
          <w:color w:val="auto"/>
          <w:lang w:eastAsia="en-US"/>
        </w:rPr>
        <w:t>entre,</w:t>
      </w:r>
      <w:r w:rsidRPr="5FEB26CB" w:rsidR="5E1AFEBE">
        <w:rPr>
          <w:rFonts w:eastAsia="" w:cs="Arial" w:eastAsiaTheme="minorEastAsia"/>
          <w:color w:val="auto"/>
          <w:lang w:eastAsia="en-US"/>
        </w:rPr>
        <w:t xml:space="preserve"> </w:t>
      </w:r>
      <w:r w:rsidRPr="5FEB26CB" w:rsidR="5A6A9DF7">
        <w:rPr>
          <w:rFonts w:eastAsia="" w:cs="Arial" w:eastAsiaTheme="minorEastAsia"/>
          <w:color w:val="auto"/>
          <w:lang w:eastAsia="en-US"/>
        </w:rPr>
        <w:t xml:space="preserve">Cowley Branch Line </w:t>
      </w:r>
      <w:r w:rsidRPr="5FEB26CB" w:rsidR="40632A3A">
        <w:rPr>
          <w:rFonts w:eastAsia="" w:cs="Arial" w:eastAsiaTheme="minorEastAsia"/>
          <w:color w:val="auto"/>
          <w:lang w:eastAsia="en-US"/>
        </w:rPr>
        <w:t>and L</w:t>
      </w:r>
      <w:r w:rsidRPr="5FEB26CB" w:rsidR="5933BAD5">
        <w:rPr>
          <w:rFonts w:eastAsia="" w:cs="Arial" w:eastAsiaTheme="minorEastAsia"/>
          <w:color w:val="auto"/>
          <w:lang w:eastAsia="en-US"/>
        </w:rPr>
        <w:t>i</w:t>
      </w:r>
      <w:r w:rsidRPr="5FEB26CB" w:rsidR="40632A3A">
        <w:rPr>
          <w:rFonts w:eastAsia="" w:cs="Arial" w:eastAsiaTheme="minorEastAsia"/>
          <w:color w:val="auto"/>
          <w:lang w:eastAsia="en-US"/>
        </w:rPr>
        <w:t xml:space="preserve">ttlemore, </w:t>
      </w:r>
      <w:r w:rsidRPr="5FEB26CB" w:rsidR="2C27C753">
        <w:rPr>
          <w:rFonts w:eastAsia="" w:cs="Arial" w:eastAsiaTheme="minorEastAsia"/>
          <w:color w:val="auto"/>
          <w:lang w:eastAsia="en-US"/>
        </w:rPr>
        <w:t>West End and Botley, Marston Road and Old Road</w:t>
      </w:r>
      <w:r w:rsidRPr="5FEB26CB" w:rsidR="6FBE43C4">
        <w:rPr>
          <w:rFonts w:eastAsia="" w:cs="Arial" w:eastAsiaTheme="minorEastAsia"/>
          <w:color w:val="auto"/>
          <w:lang w:eastAsia="en-US"/>
        </w:rPr>
        <w:t>)</w:t>
      </w:r>
      <w:r w:rsidRPr="5FEB26CB" w:rsidR="00151AAE">
        <w:rPr>
          <w:rFonts w:eastAsia="" w:cs="Arial" w:eastAsiaTheme="minorEastAsia"/>
          <w:color w:val="auto"/>
          <w:lang w:eastAsia="en-US"/>
        </w:rPr>
        <w:t>. These are areas where changes are anticipated over the Plan period as a result of new development – either within the city or adjacent to its boundaries. They include site allocations for development alongside key principles relevant to the area &amp; its wider context.</w:t>
      </w:r>
    </w:p>
    <w:p w:rsidRPr="000707EE" w:rsidR="00B67F00" w:rsidP="00B67F00" w:rsidRDefault="00B67F00" w14:paraId="4DE4AD42" w14:textId="77777777">
      <w:pPr>
        <w:pStyle w:val="bParagraphtext"/>
        <w:rPr>
          <w:rFonts w:eastAsiaTheme="minorHAnsi"/>
          <w:lang w:eastAsia="en-US"/>
        </w:rPr>
      </w:pPr>
      <w:r w:rsidRPr="5FEB26CB" w:rsidR="00B67F00">
        <w:rPr>
          <w:rFonts w:eastAsia="" w:cs="Arial" w:eastAsiaTheme="minorEastAsia"/>
          <w:color w:val="auto"/>
          <w:lang w:eastAsia="en-US"/>
        </w:rPr>
        <w:t xml:space="preserve">There are several sites around the edge of Oxford which are allocated for housing in the most recent adopted plans of neighbouring districts, to help deliver the unmet housing needs of Oxford up to 2036. Development has commenced on several of these sites and planning applications submitted for others.       </w:t>
      </w:r>
      <w:r w:rsidRPr="5FEB26CB" w:rsidR="00B67F00">
        <w:rPr>
          <w:rFonts w:cs="Arial"/>
        </w:rPr>
        <w:t xml:space="preserve"> </w:t>
      </w:r>
    </w:p>
    <w:p w:rsidRPr="001C40AF" w:rsidR="001C40AF" w:rsidP="00830AD0" w:rsidRDefault="00F96760" w14:paraId="4BCC8210" w14:textId="77777777">
      <w:pPr>
        <w:pStyle w:val="bParagraphtext"/>
        <w:rPr>
          <w:rFonts w:eastAsiaTheme="minorHAnsi"/>
          <w:lang w:eastAsia="en-US"/>
        </w:rPr>
      </w:pPr>
      <w:r w:rsidRPr="5FEB26CB" w:rsidR="00F96760">
        <w:rPr>
          <w:rFonts w:eastAsia="" w:cs="Arial" w:eastAsiaTheme="minorEastAsia"/>
          <w:color w:val="auto"/>
          <w:lang w:eastAsia="en-US"/>
        </w:rPr>
        <w:t xml:space="preserve">The Infrastructure Delivery Plan (IDP) provides a summary of the infrastructure needs across Oxford &amp; sets out the infrastructure schemes to meet these needs, taking into account the amount of future housing and employment growth over the Plan period. </w:t>
      </w:r>
      <w:r w:rsidRPr="5FEB26CB" w:rsidR="001C40AF">
        <w:rPr>
          <w:rFonts w:eastAsia="" w:cs="Arial" w:eastAsiaTheme="minorEastAsia"/>
          <w:color w:val="auto"/>
          <w:lang w:eastAsia="en-US"/>
        </w:rPr>
        <w:t xml:space="preserve">There are four IDP quadrants comprising the North, South, East and West and Central Areas, which include respective Areas of Focus together with key development site allocations. </w:t>
      </w:r>
      <w:r w:rsidRPr="5FEB26CB" w:rsidR="00AD5761">
        <w:rPr>
          <w:rFonts w:eastAsia="" w:cs="Arial" w:eastAsiaTheme="minorEastAsia"/>
          <w:color w:val="auto"/>
          <w:lang w:eastAsia="en-US"/>
        </w:rPr>
        <w:t xml:space="preserve">Each IDP Area highlights key considerations for infrastructure and design which are common across their respective area. This could include for example improvements to walking and cycling routes, public transport connectivity, promoting good urban design &amp; place making and increasing public access to green spaces. </w:t>
      </w:r>
    </w:p>
    <w:p w:rsidR="00B67F00" w:rsidP="00B67F00" w:rsidRDefault="00B67F00" w14:paraId="6D98A12B" w14:textId="77777777">
      <w:pPr>
        <w:pStyle w:val="bParagraphtext"/>
        <w:numPr>
          <w:ilvl w:val="0"/>
          <w:numId w:val="0"/>
        </w:numPr>
        <w:ind w:left="502" w:hanging="360"/>
        <w:rPr>
          <w:rFonts w:eastAsiaTheme="minorHAnsi"/>
          <w:lang w:eastAsia="en-US"/>
        </w:rPr>
      </w:pPr>
    </w:p>
    <w:p w:rsidRPr="005D4044" w:rsidR="005D4044" w:rsidP="00B67F00" w:rsidRDefault="007F06B2" w14:paraId="510024AC" w14:textId="77777777">
      <w:pPr>
        <w:pStyle w:val="bParagraphtext"/>
        <w:numPr>
          <w:ilvl w:val="0"/>
          <w:numId w:val="0"/>
        </w:numPr>
        <w:ind w:left="502" w:hanging="360"/>
        <w:rPr>
          <w:rFonts w:eastAsiaTheme="minorHAnsi"/>
          <w:lang w:eastAsia="en-US"/>
        </w:rPr>
      </w:pPr>
      <w:r w:rsidRPr="005D4044">
        <w:rPr>
          <w:rFonts w:cs="Arial" w:eastAsiaTheme="minorHAnsi"/>
          <w:b/>
          <w:color w:val="auto"/>
          <w:lang w:eastAsia="en-US"/>
        </w:rPr>
        <w:t>Sustainability Appraisal</w:t>
      </w:r>
      <w:r w:rsidRPr="005D4044" w:rsidR="00F7701D">
        <w:rPr>
          <w:rFonts w:cs="Arial" w:eastAsiaTheme="minorHAnsi"/>
          <w:b/>
          <w:color w:val="auto"/>
          <w:lang w:eastAsia="en-US"/>
        </w:rPr>
        <w:t xml:space="preserve"> and HRA</w:t>
      </w:r>
    </w:p>
    <w:p w:rsidRPr="00A630F9" w:rsidR="003561B2" w:rsidP="50D5A4BB" w:rsidRDefault="007F06B2" w14:paraId="7CD8AA30" w14:textId="604C1AD6">
      <w:pPr>
        <w:pStyle w:val="bParagraphtext"/>
        <w:rPr>
          <w:rFonts w:eastAsia="Calibri" w:eastAsiaTheme="minorAscii"/>
          <w:highlight w:val="yellow"/>
          <w:lang w:eastAsia="en-US"/>
        </w:rPr>
      </w:pPr>
      <w:r w:rsidRPr="5FEB26CB" w:rsidR="007F06B2">
        <w:rPr>
          <w:rFonts w:eastAsia="" w:cs="Arial" w:eastAsiaTheme="minorEastAsia"/>
          <w:color w:val="auto"/>
          <w:lang w:eastAsia="en-US"/>
        </w:rPr>
        <w:t xml:space="preserve">A Sustainability Appraisal has been carried out to assess the options against the Sustainability </w:t>
      </w:r>
      <w:r w:rsidRPr="5FEB26CB" w:rsidR="007F06B2">
        <w:rPr>
          <w:rFonts w:eastAsia="" w:cs="Arial" w:eastAsiaTheme="minorEastAsia"/>
          <w:color w:val="auto"/>
          <w:lang w:eastAsia="en-US"/>
        </w:rPr>
        <w:t>objectives</w:t>
      </w:r>
      <w:r w:rsidRPr="5FEB26CB" w:rsidR="00AD2B39">
        <w:rPr>
          <w:rFonts w:eastAsia="" w:cs="Arial" w:eastAsiaTheme="minorEastAsia"/>
          <w:color w:val="auto"/>
          <w:lang w:eastAsia="en-US"/>
        </w:rPr>
        <w:t xml:space="preserve"> (Appendix 3)</w:t>
      </w:r>
      <w:r w:rsidRPr="5FEB26CB" w:rsidR="005D4044">
        <w:rPr>
          <w:rFonts w:eastAsia="" w:cs="Arial" w:eastAsiaTheme="minorEastAsia"/>
          <w:color w:val="auto"/>
          <w:lang w:eastAsia="en-US"/>
        </w:rPr>
        <w:t>.</w:t>
      </w:r>
      <w:r w:rsidRPr="5FEB26CB" w:rsidR="007F06B2">
        <w:rPr>
          <w:rFonts w:eastAsia="" w:cs="Arial" w:eastAsiaTheme="minorEastAsia"/>
          <w:color w:val="auto"/>
          <w:lang w:eastAsia="en-US"/>
        </w:rPr>
        <w:t xml:space="preserve"> This work has informed the </w:t>
      </w:r>
      <w:r w:rsidRPr="5FEB26CB" w:rsidR="007F06B2">
        <w:rPr>
          <w:rFonts w:eastAsia="" w:cs="Arial" w:eastAsiaTheme="minorEastAsia"/>
          <w:color w:val="auto"/>
          <w:lang w:eastAsia="en-US"/>
        </w:rPr>
        <w:t>selection</w:t>
      </w:r>
      <w:r w:rsidRPr="5FEB26CB" w:rsidR="007F06B2">
        <w:rPr>
          <w:rFonts w:eastAsia="" w:cs="Arial" w:eastAsiaTheme="minorEastAsia"/>
          <w:color w:val="auto"/>
          <w:lang w:eastAsia="en-US"/>
        </w:rPr>
        <w:t xml:space="preserve"> of preferred options</w:t>
      </w:r>
      <w:r w:rsidRPr="5FEB26CB" w:rsidR="005D4044">
        <w:rPr>
          <w:rFonts w:eastAsia="" w:cs="Arial" w:eastAsiaTheme="minorEastAsia"/>
          <w:color w:val="auto"/>
          <w:lang w:eastAsia="en-US"/>
        </w:rPr>
        <w:t xml:space="preserve"> and the drafting of policies</w:t>
      </w:r>
      <w:r w:rsidRPr="5FEB26CB" w:rsidR="007F06B2">
        <w:rPr>
          <w:rFonts w:eastAsia="" w:cs="Arial" w:eastAsiaTheme="minorEastAsia"/>
          <w:color w:val="auto"/>
          <w:lang w:eastAsia="en-US"/>
        </w:rPr>
        <w:t xml:space="preserve">. </w:t>
      </w:r>
      <w:r w:rsidRPr="5FEB26CB" w:rsidR="005D4044">
        <w:rPr>
          <w:rFonts w:eastAsia="" w:cs="Arial" w:eastAsiaTheme="minorEastAsia"/>
          <w:color w:val="auto"/>
          <w:lang w:eastAsia="en-US"/>
        </w:rPr>
        <w:t xml:space="preserve">A </w:t>
      </w:r>
      <w:r w:rsidRPr="5FEB26CB" w:rsidR="005D4044">
        <w:rPr>
          <w:rFonts w:eastAsia="" w:cs="Arial" w:eastAsiaTheme="minorEastAsia"/>
          <w:color w:val="auto"/>
          <w:lang w:eastAsia="en-US"/>
        </w:rPr>
        <w:t>Habitat</w:t>
      </w:r>
      <w:r w:rsidRPr="5FEB26CB" w:rsidR="005D4044">
        <w:rPr>
          <w:rFonts w:eastAsia="" w:cs="Arial" w:eastAsiaTheme="minorEastAsia"/>
          <w:color w:val="auto"/>
          <w:lang w:eastAsia="en-US"/>
        </w:rPr>
        <w:t xml:space="preserve"> Regulation</w:t>
      </w:r>
      <w:r w:rsidRPr="5FEB26CB" w:rsidR="51DED259">
        <w:rPr>
          <w:rFonts w:eastAsia="" w:cs="Arial" w:eastAsiaTheme="minorEastAsia"/>
          <w:color w:val="auto"/>
          <w:lang w:eastAsia="en-US"/>
        </w:rPr>
        <w:t>s</w:t>
      </w:r>
      <w:r w:rsidRPr="5FEB26CB" w:rsidR="005D4044">
        <w:rPr>
          <w:rFonts w:eastAsia="" w:cs="Arial" w:eastAsiaTheme="minorEastAsia"/>
          <w:color w:val="auto"/>
          <w:lang w:eastAsia="en-US"/>
        </w:rPr>
        <w:t xml:space="preserve"> Assessment</w:t>
      </w:r>
      <w:r w:rsidRPr="5FEB26CB" w:rsidR="00572539">
        <w:rPr>
          <w:rFonts w:eastAsia="" w:cs="Arial" w:eastAsiaTheme="minorEastAsia"/>
          <w:color w:val="auto"/>
          <w:lang w:eastAsia="en-US"/>
        </w:rPr>
        <w:t xml:space="preserve"> (HRA)</w:t>
      </w:r>
      <w:r w:rsidRPr="5FEB26CB" w:rsidR="005D4044">
        <w:rPr>
          <w:rFonts w:eastAsia="" w:cs="Arial" w:eastAsiaTheme="minorEastAsia"/>
          <w:color w:val="auto"/>
          <w:lang w:eastAsia="en-US"/>
        </w:rPr>
        <w:t xml:space="preserve"> has been carried out to assess any potential negative impacts of development on the </w:t>
      </w:r>
      <w:r w:rsidRPr="5FEB26CB" w:rsidR="00707356">
        <w:rPr>
          <w:rFonts w:eastAsia="" w:cs="Arial" w:eastAsiaTheme="minorEastAsia"/>
          <w:color w:val="auto"/>
          <w:lang w:eastAsia="en-US"/>
        </w:rPr>
        <w:t>Oxford Meadows Special Area of Conservation (</w:t>
      </w:r>
      <w:r w:rsidRPr="5FEB26CB" w:rsidR="005D4044">
        <w:rPr>
          <w:rFonts w:eastAsia="" w:cs="Arial" w:eastAsiaTheme="minorEastAsia"/>
          <w:color w:val="auto"/>
          <w:lang w:eastAsia="en-US"/>
        </w:rPr>
        <w:t>SAC</w:t>
      </w:r>
      <w:r w:rsidRPr="5FEB26CB" w:rsidR="00707356">
        <w:rPr>
          <w:rFonts w:eastAsia="" w:cs="Arial" w:eastAsiaTheme="minorEastAsia"/>
          <w:color w:val="auto"/>
          <w:lang w:eastAsia="en-US"/>
        </w:rPr>
        <w:t>)</w:t>
      </w:r>
      <w:r w:rsidRPr="5FEB26CB" w:rsidR="005D4044">
        <w:rPr>
          <w:rFonts w:eastAsia="" w:cs="Arial" w:eastAsiaTheme="minorEastAsia"/>
          <w:color w:val="auto"/>
          <w:lang w:eastAsia="en-US"/>
        </w:rPr>
        <w:t>, and suggested mitigations are included in relevant site allocation policies</w:t>
      </w:r>
      <w:r w:rsidRPr="5FEB26CB" w:rsidR="00AD2B39">
        <w:rPr>
          <w:rFonts w:eastAsia="" w:cs="Arial" w:eastAsiaTheme="minorEastAsia"/>
          <w:color w:val="auto"/>
          <w:lang w:eastAsia="en-US"/>
        </w:rPr>
        <w:t xml:space="preserve"> (Appendix 4)</w:t>
      </w:r>
      <w:r w:rsidRPr="5FEB26CB" w:rsidR="005D4044">
        <w:rPr>
          <w:rFonts w:eastAsia="" w:cs="Arial" w:eastAsiaTheme="minorEastAsia"/>
          <w:color w:val="auto"/>
          <w:lang w:eastAsia="en-US"/>
        </w:rPr>
        <w:t xml:space="preserve">. </w:t>
      </w:r>
      <w:r w:rsidRPr="5FEB26CB" w:rsidR="007F06B2">
        <w:rPr>
          <w:rFonts w:eastAsia="" w:cs="Arial" w:eastAsiaTheme="minorEastAsia"/>
          <w:color w:val="auto"/>
          <w:lang w:eastAsia="en-US"/>
        </w:rPr>
        <w:t xml:space="preserve">The Sustainability Appraisal </w:t>
      </w:r>
      <w:r w:rsidRPr="5FEB26CB" w:rsidR="005D4044">
        <w:rPr>
          <w:rFonts w:eastAsia="" w:cs="Arial" w:eastAsiaTheme="minorEastAsia"/>
          <w:color w:val="auto"/>
          <w:lang w:eastAsia="en-US"/>
        </w:rPr>
        <w:t xml:space="preserve">and HRA </w:t>
      </w:r>
      <w:r w:rsidRPr="5FEB26CB" w:rsidR="007F06B2">
        <w:rPr>
          <w:rFonts w:eastAsia="" w:cs="Arial" w:eastAsiaTheme="minorEastAsia"/>
          <w:color w:val="auto"/>
          <w:lang w:eastAsia="en-US"/>
        </w:rPr>
        <w:t xml:space="preserve">will be published alongside the </w:t>
      </w:r>
      <w:r w:rsidRPr="5FEB26CB" w:rsidR="005D4044">
        <w:rPr>
          <w:rFonts w:eastAsia="" w:cs="Arial" w:eastAsiaTheme="minorEastAsia"/>
          <w:color w:val="auto"/>
          <w:lang w:eastAsia="en-US"/>
        </w:rPr>
        <w:t>Proposed Submission Draft Local Plan</w:t>
      </w:r>
      <w:r w:rsidRPr="5FEB26CB" w:rsidR="007F06B2">
        <w:rPr>
          <w:rFonts w:eastAsia="" w:cs="Arial" w:eastAsiaTheme="minorEastAsia"/>
          <w:color w:val="auto"/>
          <w:lang w:eastAsia="en-US"/>
        </w:rPr>
        <w:t xml:space="preserve"> and</w:t>
      </w:r>
      <w:r w:rsidRPr="5FEB26CB" w:rsidR="004D3F24">
        <w:rPr>
          <w:rFonts w:eastAsia="" w:cs="Arial" w:eastAsiaTheme="minorEastAsia"/>
          <w:color w:val="auto"/>
          <w:lang w:eastAsia="en-US"/>
        </w:rPr>
        <w:t xml:space="preserve"> will</w:t>
      </w:r>
      <w:r w:rsidRPr="5FEB26CB" w:rsidR="007F06B2">
        <w:rPr>
          <w:rFonts w:eastAsia="" w:cs="Arial" w:eastAsiaTheme="minorEastAsia"/>
          <w:color w:val="auto"/>
          <w:lang w:eastAsia="en-US"/>
        </w:rPr>
        <w:t xml:space="preserve"> also </w:t>
      </w:r>
      <w:r w:rsidRPr="5FEB26CB" w:rsidR="004D3F24">
        <w:rPr>
          <w:rFonts w:eastAsia="" w:cs="Arial" w:eastAsiaTheme="minorEastAsia"/>
          <w:color w:val="auto"/>
          <w:lang w:eastAsia="en-US"/>
        </w:rPr>
        <w:t xml:space="preserve">be </w:t>
      </w:r>
      <w:r w:rsidRPr="5FEB26CB" w:rsidR="007F06B2">
        <w:rPr>
          <w:rFonts w:eastAsia="" w:cs="Arial" w:eastAsiaTheme="minorEastAsia"/>
          <w:color w:val="auto"/>
          <w:lang w:eastAsia="en-US"/>
        </w:rPr>
        <w:t>available for consultation</w:t>
      </w:r>
      <w:r w:rsidRPr="5FEB26CB" w:rsidR="00A630F9">
        <w:rPr>
          <w:rFonts w:eastAsia="" w:cs="Arial" w:eastAsiaTheme="minorEastAsia"/>
          <w:color w:val="auto"/>
          <w:lang w:eastAsia="en-US"/>
        </w:rPr>
        <w:t>.</w:t>
      </w:r>
    </w:p>
    <w:p w:rsidRPr="000D62EE" w:rsidR="00E87F7A" w:rsidP="000D62EE" w:rsidRDefault="000D62EE" w14:paraId="3AC09A9B" w14:textId="77777777">
      <w:pPr>
        <w:pStyle w:val="bParagraphtext"/>
        <w:numPr>
          <w:ilvl w:val="0"/>
          <w:numId w:val="0"/>
        </w:numPr>
        <w:rPr>
          <w:b/>
        </w:rPr>
      </w:pPr>
      <w:r>
        <w:rPr>
          <w:b/>
        </w:rPr>
        <w:t>Consultation</w:t>
      </w:r>
    </w:p>
    <w:p w:rsidR="0092239F" w:rsidP="005570B5" w:rsidRDefault="004003E9" w14:paraId="4F2347A4" w14:textId="7C4E9CBB">
      <w:pPr>
        <w:pStyle w:val="bParagraphtext"/>
        <w:rPr/>
      </w:pPr>
      <w:r w:rsidR="004003E9">
        <w:rPr/>
        <w:t>The consultation responses and engagement are an important input in</w:t>
      </w:r>
      <w:r w:rsidR="006F1F9A">
        <w:rPr/>
        <w:t xml:space="preserve">to </w:t>
      </w:r>
      <w:r w:rsidR="008536F2">
        <w:rPr/>
        <w:t>p</w:t>
      </w:r>
      <w:r w:rsidR="5899545E">
        <w:rPr/>
        <w:t xml:space="preserve">reparing </w:t>
      </w:r>
      <w:r w:rsidR="008536F2">
        <w:rPr/>
        <w:t>and shaping the content of</w:t>
      </w:r>
      <w:r w:rsidR="004003E9">
        <w:rPr/>
        <w:t xml:space="preserve"> the Local Plan. </w:t>
      </w:r>
      <w:r w:rsidR="003E78C6">
        <w:rPr/>
        <w:t>T</w:t>
      </w:r>
      <w:r w:rsidR="0092239F">
        <w:rPr/>
        <w:t xml:space="preserve">he </w:t>
      </w:r>
      <w:r w:rsidR="00CA373B">
        <w:rPr/>
        <w:t xml:space="preserve">Oxford Local Plan </w:t>
      </w:r>
      <w:r w:rsidR="003E78C6">
        <w:rPr/>
        <w:t>Local Development Scheme</w:t>
      </w:r>
      <w:r w:rsidR="00CA373B">
        <w:rPr/>
        <w:t xml:space="preserve"> (LDS) 2022-2027</w:t>
      </w:r>
      <w:r w:rsidR="003E78C6">
        <w:rPr/>
        <w:t xml:space="preserve"> set </w:t>
      </w:r>
      <w:r w:rsidR="00CA373B">
        <w:rPr/>
        <w:t xml:space="preserve">out </w:t>
      </w:r>
      <w:r w:rsidR="003E78C6">
        <w:rPr/>
        <w:t xml:space="preserve">the programme for </w:t>
      </w:r>
      <w:r w:rsidR="00CA373B">
        <w:rPr/>
        <w:t xml:space="preserve">the </w:t>
      </w:r>
      <w:r w:rsidR="003E78C6">
        <w:rPr/>
        <w:t>production of the Local Plan</w:t>
      </w:r>
      <w:r w:rsidR="00CA373B">
        <w:rPr/>
        <w:t xml:space="preserve"> 2040</w:t>
      </w:r>
      <w:r w:rsidR="0092239F">
        <w:rPr/>
        <w:t>.</w:t>
      </w:r>
      <w:r w:rsidR="003E78C6">
        <w:rPr/>
        <w:t xml:space="preserve"> </w:t>
      </w:r>
      <w:r w:rsidR="00DD54B4">
        <w:rPr/>
        <w:t>The e</w:t>
      </w:r>
      <w:r w:rsidR="00DD78CC">
        <w:rPr/>
        <w:t xml:space="preserve">ngagement and consultation </w:t>
      </w:r>
      <w:r w:rsidR="00DD54B4">
        <w:rPr/>
        <w:t xml:space="preserve">has been and </w:t>
      </w:r>
      <w:r w:rsidR="00DD78CC">
        <w:rPr/>
        <w:t xml:space="preserve">will be consistent with the Statement of Community Involvement </w:t>
      </w:r>
      <w:r w:rsidR="00B519EE">
        <w:rPr/>
        <w:t xml:space="preserve">(SCI) </w:t>
      </w:r>
      <w:r w:rsidR="00DD78CC">
        <w:rPr/>
        <w:t>in Planning</w:t>
      </w:r>
      <w:r w:rsidR="00B519EE">
        <w:rPr/>
        <w:t xml:space="preserve"> adopted in June 2021</w:t>
      </w:r>
      <w:r w:rsidR="00DD78CC">
        <w:rPr/>
        <w:t xml:space="preserve">, and appropriate to the stage. </w:t>
      </w:r>
    </w:p>
    <w:p w:rsidR="00CA373B" w:rsidP="005D2723" w:rsidRDefault="00CA373B" w14:paraId="1CA2C16E" w14:textId="77777777">
      <w:pPr>
        <w:pStyle w:val="bParagraphtext"/>
        <w:rPr/>
      </w:pPr>
      <w:r w:rsidR="00CA373B">
        <w:rPr/>
        <w:t>The Issues and Scoping of the Options took place in June / July 2021</w:t>
      </w:r>
      <w:r w:rsidR="00DD54B4">
        <w:rPr/>
        <w:t>, which sought to identify the key issues for the Local Plan to address. The Preferred Options Consultation (Regulation 18 Part 1)</w:t>
      </w:r>
      <w:r w:rsidR="00CA373B">
        <w:rPr/>
        <w:t xml:space="preserve"> </w:t>
      </w:r>
      <w:r w:rsidR="00DD54B4">
        <w:rPr/>
        <w:t xml:space="preserve">was carried out in October / November 2022, which was followed by a Housing Need Consultation (Regulation 18 Part 2) that ran </w:t>
      </w:r>
      <w:r w:rsidR="00A4235D">
        <w:rPr/>
        <w:t>during</w:t>
      </w:r>
      <w:r w:rsidR="00DD54B4">
        <w:rPr/>
        <w:t xml:space="preserve"> February / March 2023. These two consultations sought to obtain views on a range of policy options, Preferred Options, together with the Housing Need Consultation. These consultations were then used to inform the development of the draft policies in the Proposed Submission Draft. </w:t>
      </w:r>
    </w:p>
    <w:p w:rsidR="00D764CE" w:rsidP="005D2723" w:rsidRDefault="00D764CE" w14:paraId="45A1703A" w14:textId="77777777">
      <w:pPr>
        <w:pStyle w:val="bParagraphtext"/>
        <w:rPr/>
      </w:pPr>
      <w:r w:rsidR="00D764CE">
        <w:rPr/>
        <w:t xml:space="preserve">Consultation at the Regulation 19 stage is more </w:t>
      </w:r>
      <w:r w:rsidR="00DA7818">
        <w:rPr/>
        <w:t xml:space="preserve">formal. The aim of the consultation stage is to ask for views on whether the Plan meets the tests of soundness set out in paragraph </w:t>
      </w:r>
      <w:r w:rsidR="004D3F24">
        <w:rPr/>
        <w:t>35</w:t>
      </w:r>
      <w:r w:rsidR="00DA7818">
        <w:rPr/>
        <w:t xml:space="preserve"> of the NPPF. Comments received at this stage of consultation are sent to the Secretary of State on submission of the Plan for consideration by the Inspector as part of the examination. </w:t>
      </w:r>
      <w:r w:rsidR="00C36A51">
        <w:rPr/>
        <w:t>There is limited scope to make changes to the Plan based on comments received, prior to submission.</w:t>
      </w:r>
    </w:p>
    <w:p w:rsidRPr="001356F1" w:rsidR="0040736F" w:rsidP="004A6D2F" w:rsidRDefault="002329CF" w14:paraId="4760BAF3" w14:textId="77777777">
      <w:pPr>
        <w:pStyle w:val="Heading1"/>
      </w:pPr>
      <w:r>
        <w:t>Financial implications</w:t>
      </w:r>
    </w:p>
    <w:p w:rsidR="1FE96DCD" w:rsidP="24B25987" w:rsidRDefault="1FE96DCD" w14:paraId="1877798E" w14:textId="5A843A57">
      <w:pPr>
        <w:pStyle w:val="ListParagraph"/>
        <w:rPr>
          <w:rFonts w:eastAsia="Arial" w:cs="Arial"/>
          <w:color w:val="000000" w:themeColor="text1"/>
        </w:rPr>
      </w:pPr>
      <w:r w:rsidRPr="5FEB26CB" w:rsidR="1FE96DCD">
        <w:rPr>
          <w:rFonts w:eastAsia="Arial" w:cs="Arial"/>
          <w:color w:val="000000" w:themeColor="text1" w:themeTint="FF" w:themeShade="FF"/>
        </w:rPr>
        <w:t>Production of a Local Plan is a significant and multi-year financial commitment.  In particular the costs associated with examination are notable. The budget of the Planning Service is drafted and has been approved with this service pressure in mind.  The costs associated with the production of the Local Plan, including the consultation, are being met through the annual Local Plan budget, funds previously allocated to the Oxfordshire Plan (JSSP) reserve, and the resources of the Planning Policy team.</w:t>
      </w:r>
      <w:r w:rsidRPr="5FEB26CB" w:rsidR="7E279F5E">
        <w:rPr>
          <w:rFonts w:eastAsia="Arial" w:cs="Arial"/>
          <w:color w:val="000000" w:themeColor="text1" w:themeTint="FF" w:themeShade="FF"/>
        </w:rPr>
        <w:t xml:space="preserve"> </w:t>
      </w:r>
      <w:r w:rsidRPr="5FEB26CB" w:rsidR="0AF4CC27">
        <w:rPr>
          <w:rFonts w:eastAsia="Arial" w:cs="Arial"/>
          <w:color w:val="000000" w:themeColor="text1" w:themeTint="FF" w:themeShade="FF"/>
        </w:rPr>
        <w:t xml:space="preserve">Policies have been drafted to be as easy to evidence (for the developer) and assess </w:t>
      </w:r>
      <w:r w:rsidRPr="5FEB26CB" w:rsidR="51D443C1">
        <w:rPr>
          <w:rFonts w:eastAsia="Arial" w:cs="Arial"/>
          <w:color w:val="000000" w:themeColor="text1" w:themeTint="FF" w:themeShade="FF"/>
        </w:rPr>
        <w:t xml:space="preserve">(for officers) </w:t>
      </w:r>
      <w:r w:rsidRPr="5FEB26CB" w:rsidR="0AF4CC27">
        <w:rPr>
          <w:rFonts w:eastAsia="Arial" w:cs="Arial"/>
          <w:color w:val="000000" w:themeColor="text1" w:themeTint="FF" w:themeShade="FF"/>
        </w:rPr>
        <w:t xml:space="preserve">as possible. </w:t>
      </w:r>
      <w:r w:rsidRPr="5FEB26CB" w:rsidR="7E7134B0">
        <w:rPr>
          <w:rFonts w:eastAsia="Arial" w:cs="Arial"/>
          <w:color w:val="000000" w:themeColor="text1" w:themeTint="FF" w:themeShade="FF"/>
        </w:rPr>
        <w:t xml:space="preserve">In many cases the policies will require a change in the assessment process from that </w:t>
      </w:r>
      <w:r w:rsidRPr="5FEB26CB" w:rsidR="16DFBF57">
        <w:rPr>
          <w:rFonts w:eastAsia="Arial" w:cs="Arial"/>
          <w:color w:val="000000" w:themeColor="text1" w:themeTint="FF" w:themeShade="FF"/>
        </w:rPr>
        <w:t>existing</w:t>
      </w:r>
      <w:r w:rsidRPr="5FEB26CB" w:rsidR="7E7134B0">
        <w:rPr>
          <w:rFonts w:eastAsia="Arial" w:cs="Arial"/>
          <w:color w:val="000000" w:themeColor="text1" w:themeTint="FF" w:themeShade="FF"/>
        </w:rPr>
        <w:t xml:space="preserve"> under the </w:t>
      </w:r>
      <w:r w:rsidRPr="5FEB26CB" w:rsidR="2E72D396">
        <w:rPr>
          <w:rFonts w:eastAsia="Arial" w:cs="Arial"/>
          <w:color w:val="000000" w:themeColor="text1" w:themeTint="FF" w:themeShade="FF"/>
        </w:rPr>
        <w:t>current</w:t>
      </w:r>
      <w:r w:rsidRPr="5FEB26CB" w:rsidR="69650527">
        <w:rPr>
          <w:rFonts w:eastAsia="Arial" w:cs="Arial"/>
          <w:color w:val="000000" w:themeColor="text1" w:themeTint="FF" w:themeShade="FF"/>
        </w:rPr>
        <w:t xml:space="preserve"> Local Plan.  </w:t>
      </w:r>
      <w:r w:rsidRPr="5FEB26CB" w:rsidR="0AF4CC27">
        <w:rPr>
          <w:rFonts w:eastAsia="Arial" w:cs="Arial"/>
          <w:color w:val="000000" w:themeColor="text1" w:themeTint="FF" w:themeShade="FF"/>
        </w:rPr>
        <w:t>However, s</w:t>
      </w:r>
      <w:r w:rsidRPr="5FEB26CB" w:rsidR="7E279F5E">
        <w:rPr>
          <w:rFonts w:eastAsia="Arial" w:cs="Arial"/>
          <w:color w:val="000000" w:themeColor="text1" w:themeTint="FF" w:themeShade="FF"/>
        </w:rPr>
        <w:t>ome of the policies as drafted will have</w:t>
      </w:r>
      <w:r w:rsidRPr="5FEB26CB" w:rsidR="1C1EF729">
        <w:rPr>
          <w:rFonts w:eastAsia="Arial" w:cs="Arial"/>
          <w:color w:val="000000" w:themeColor="text1" w:themeTint="FF" w:themeShade="FF"/>
        </w:rPr>
        <w:t xml:space="preserve"> moderate</w:t>
      </w:r>
      <w:r w:rsidRPr="5FEB26CB" w:rsidR="7E279F5E">
        <w:rPr>
          <w:rFonts w:eastAsia="Arial" w:cs="Arial"/>
          <w:color w:val="000000" w:themeColor="text1" w:themeTint="FF" w:themeShade="FF"/>
        </w:rPr>
        <w:t xml:space="preserve"> resource implications at implementation stage for other teams in the C</w:t>
      </w:r>
      <w:r w:rsidRPr="5FEB26CB" w:rsidR="7818577B">
        <w:rPr>
          <w:rFonts w:eastAsia="Arial" w:cs="Arial"/>
          <w:color w:val="000000" w:themeColor="text1" w:themeTint="FF" w:themeShade="FF"/>
        </w:rPr>
        <w:t>o</w:t>
      </w:r>
      <w:r w:rsidRPr="5FEB26CB" w:rsidR="7E279F5E">
        <w:rPr>
          <w:rFonts w:eastAsia="Arial" w:cs="Arial"/>
          <w:color w:val="000000" w:themeColor="text1" w:themeTint="FF" w:themeShade="FF"/>
        </w:rPr>
        <w:t xml:space="preserve">uncil, for example </w:t>
      </w:r>
      <w:r w:rsidRPr="5FEB26CB" w:rsidR="048E35C3">
        <w:rPr>
          <w:rFonts w:eastAsia="Arial" w:cs="Arial"/>
          <w:color w:val="000000" w:themeColor="text1" w:themeTint="FF" w:themeShade="FF"/>
        </w:rPr>
        <w:t xml:space="preserve">assessing compliance </w:t>
      </w:r>
      <w:r w:rsidRPr="5FEB26CB" w:rsidR="048E35C3">
        <w:rPr>
          <w:rFonts w:eastAsia="Arial" w:cs="Arial"/>
          <w:color w:val="000000" w:themeColor="text1" w:themeTint="FF" w:themeShade="FF"/>
        </w:rPr>
        <w:t>with the carbon reduction policy,</w:t>
      </w:r>
      <w:r w:rsidRPr="5FEB26CB" w:rsidR="14FA4FE9">
        <w:rPr>
          <w:rFonts w:eastAsia="Arial" w:cs="Arial"/>
          <w:color w:val="000000" w:themeColor="text1" w:themeTint="FF" w:themeShade="FF"/>
        </w:rPr>
        <w:t xml:space="preserve"> biodiversity net gain (a Government requirement in any event) and </w:t>
      </w:r>
      <w:r w:rsidRPr="5FEB26CB" w:rsidR="1FCF57F0">
        <w:rPr>
          <w:rFonts w:eastAsia="Arial" w:cs="Arial"/>
          <w:color w:val="000000" w:themeColor="text1" w:themeTint="FF" w:themeShade="FF"/>
        </w:rPr>
        <w:t xml:space="preserve">community employment plans. Relevant teams have been consulted </w:t>
      </w:r>
      <w:r w:rsidRPr="5FEB26CB" w:rsidR="2D1FB856">
        <w:rPr>
          <w:rFonts w:eastAsia="Arial" w:cs="Arial"/>
          <w:color w:val="000000" w:themeColor="text1" w:themeTint="FF" w:themeShade="FF"/>
        </w:rPr>
        <w:t>on the</w:t>
      </w:r>
      <w:r w:rsidRPr="5FEB26CB" w:rsidR="048E35C3">
        <w:rPr>
          <w:rFonts w:eastAsia="Arial" w:cs="Arial"/>
          <w:color w:val="000000" w:themeColor="text1" w:themeTint="FF" w:themeShade="FF"/>
        </w:rPr>
        <w:t xml:space="preserve"> </w:t>
      </w:r>
      <w:r w:rsidRPr="5FEB26CB" w:rsidR="2D1FB856">
        <w:rPr>
          <w:rFonts w:eastAsia="Arial" w:cs="Arial"/>
          <w:color w:val="000000" w:themeColor="text1" w:themeTint="FF" w:themeShade="FF"/>
        </w:rPr>
        <w:t xml:space="preserve">draft policies and are satisfied with the implications, and training for planning officers will be provided so that specialist advice is only required on the most complex applications.   </w:t>
      </w:r>
      <w:r w:rsidRPr="5FEB26CB" w:rsidR="1FE96DCD">
        <w:rPr>
          <w:rFonts w:eastAsia="Arial" w:cs="Arial"/>
          <w:color w:val="000000" w:themeColor="text1" w:themeTint="FF" w:themeShade="FF"/>
        </w:rPr>
        <w:t xml:space="preserve"> </w:t>
      </w:r>
    </w:p>
    <w:p w:rsidRPr="001356F1" w:rsidR="0040736F" w:rsidP="004A6D2F" w:rsidRDefault="00DA614B" w14:paraId="068D2010" w14:textId="77777777">
      <w:pPr>
        <w:pStyle w:val="Heading1"/>
      </w:pPr>
      <w:r w:rsidRPr="001356F1">
        <w:t>Legal issues</w:t>
      </w:r>
    </w:p>
    <w:p w:rsidR="00D52995" w:rsidP="005570B5" w:rsidRDefault="00826FBD" w14:paraId="0310BA43" w14:textId="77777777">
      <w:pPr>
        <w:pStyle w:val="ListParagraph"/>
        <w:rPr/>
      </w:pPr>
      <w:r w:rsidR="00826FBD">
        <w:rPr/>
        <w:t>There are no specific legal implications arising from the recommendations set out in this report. There are legal requirements that must be followed through the</w:t>
      </w:r>
      <w:r w:rsidR="003561B2">
        <w:rPr/>
        <w:t xml:space="preserve"> production of the Local Plan, which will be </w:t>
      </w:r>
      <w:r w:rsidR="00DA7818">
        <w:rPr/>
        <w:t>considered by the Inspector at e</w:t>
      </w:r>
      <w:r w:rsidR="003561B2">
        <w:rPr/>
        <w:t>xamination</w:t>
      </w:r>
      <w:r w:rsidR="00E87F7A">
        <w:rPr/>
        <w:t>.</w:t>
      </w:r>
      <w:r w:rsidR="001616C8">
        <w:rPr/>
        <w:t xml:space="preserve"> </w:t>
      </w:r>
    </w:p>
    <w:p w:rsidRPr="00596AB6" w:rsidR="005C7CFA" w:rsidP="005C7CFA" w:rsidRDefault="005C7CFA" w14:paraId="081AC3EC" w14:textId="77777777">
      <w:pPr>
        <w:pStyle w:val="ListParagraph"/>
        <w:rPr/>
      </w:pPr>
      <w:r w:rsidRPr="5FEB26CB" w:rsidR="005C7CFA">
        <w:rPr>
          <w:rFonts w:eastAsia="" w:eastAsiaTheme="majorEastAsia"/>
        </w:rPr>
        <w:t>The Local Plan is a statutory document the Council must produce. The draft submission document is prepared for the 3</w:t>
      </w:r>
      <w:r w:rsidRPr="5FEB26CB" w:rsidR="005C7CFA">
        <w:rPr>
          <w:rFonts w:eastAsia="" w:eastAsiaTheme="majorEastAsia"/>
          <w:vertAlign w:val="superscript"/>
        </w:rPr>
        <w:t>rd</w:t>
      </w:r>
      <w:r w:rsidRPr="5FEB26CB" w:rsidR="005C7CFA">
        <w:rPr>
          <w:rFonts w:eastAsia="" w:eastAsiaTheme="majorEastAsia"/>
        </w:rPr>
        <w:t xml:space="preserve"> round of consultation, which will follow </w:t>
      </w:r>
      <w:r w:rsidRPr="5FEB26CB" w:rsidR="006F1F9A">
        <w:rPr>
          <w:rFonts w:eastAsia="" w:eastAsiaTheme="majorEastAsia"/>
        </w:rPr>
        <w:t xml:space="preserve">the </w:t>
      </w:r>
      <w:r w:rsidRPr="5FEB26CB" w:rsidR="005C7CFA">
        <w:rPr>
          <w:rFonts w:eastAsia="" w:eastAsiaTheme="majorEastAsia"/>
        </w:rPr>
        <w:t xml:space="preserve">procedure set out in Regulation 19. This is a more formal consultation than previous rounds. Comments </w:t>
      </w:r>
      <w:r w:rsidRPr="5FEB26CB" w:rsidR="00EA121C">
        <w:rPr>
          <w:rFonts w:eastAsia="" w:eastAsiaTheme="majorEastAsia"/>
        </w:rPr>
        <w:t>should</w:t>
      </w:r>
      <w:r w:rsidRPr="5FEB26CB" w:rsidR="005C7CFA">
        <w:rPr>
          <w:rFonts w:eastAsia="" w:eastAsiaTheme="majorEastAsia"/>
        </w:rPr>
        <w:t xml:space="preserve"> relate to the ‘soundness’ of the Plan and are considered as part of the </w:t>
      </w:r>
      <w:r w:rsidRPr="5FEB26CB" w:rsidR="00DA7818">
        <w:rPr>
          <w:rFonts w:eastAsia="" w:eastAsiaTheme="majorEastAsia"/>
        </w:rPr>
        <w:t>e</w:t>
      </w:r>
      <w:r w:rsidRPr="5FEB26CB" w:rsidR="005C7CFA">
        <w:rPr>
          <w:rFonts w:eastAsia="" w:eastAsiaTheme="majorEastAsia"/>
        </w:rPr>
        <w:t>xamination.</w:t>
      </w:r>
    </w:p>
    <w:p w:rsidRPr="001356F1" w:rsidR="002329CF" w:rsidP="004A6D2F" w:rsidRDefault="002329CF" w14:paraId="48740ADA" w14:textId="77777777">
      <w:pPr>
        <w:pStyle w:val="Heading1"/>
      </w:pPr>
      <w:r w:rsidRPr="001356F1">
        <w:t>Level of risk</w:t>
      </w:r>
    </w:p>
    <w:p w:rsidRPr="00395A84" w:rsidR="00BC69A4" w:rsidP="005570B5" w:rsidRDefault="00150631" w14:paraId="2AA5F3DF" w14:textId="32DC7114">
      <w:pPr>
        <w:pStyle w:val="ListParagraph"/>
        <w:rPr/>
      </w:pPr>
      <w:r w:rsidR="00150631">
        <w:rPr/>
        <w:t>The</w:t>
      </w:r>
      <w:r w:rsidR="0093067A">
        <w:rPr/>
        <w:t xml:space="preserve"> completed </w:t>
      </w:r>
      <w:r w:rsidR="00151888">
        <w:rPr/>
        <w:t>R</w:t>
      </w:r>
      <w:r w:rsidR="002329CF">
        <w:rPr/>
        <w:t xml:space="preserve">isk </w:t>
      </w:r>
      <w:r w:rsidR="52A9A5BE">
        <w:rPr/>
        <w:t xml:space="preserve">Assessment </w:t>
      </w:r>
      <w:r w:rsidR="00150631">
        <w:rPr/>
        <w:t>i</w:t>
      </w:r>
      <w:r w:rsidR="002329CF">
        <w:rPr/>
        <w:t>s</w:t>
      </w:r>
      <w:r w:rsidR="00395A84">
        <w:rPr/>
        <w:t xml:space="preserve"> attached as</w:t>
      </w:r>
      <w:r w:rsidR="002329CF">
        <w:rPr/>
        <w:t xml:space="preserve"> </w:t>
      </w:r>
      <w:r w:rsidR="00395A84">
        <w:rPr/>
        <w:t>A</w:t>
      </w:r>
      <w:r w:rsidR="002329CF">
        <w:rPr/>
        <w:t>ppendix</w:t>
      </w:r>
      <w:r w:rsidR="00395A84">
        <w:rPr/>
        <w:t xml:space="preserve"> </w:t>
      </w:r>
      <w:r w:rsidR="670E387F">
        <w:rPr/>
        <w:t>6</w:t>
      </w:r>
      <w:r w:rsidR="002329CF">
        <w:rPr/>
        <w:t xml:space="preserve">. </w:t>
      </w:r>
    </w:p>
    <w:p w:rsidRPr="001356F1" w:rsidR="002329CF" w:rsidP="0050321C" w:rsidRDefault="002329CF" w14:paraId="46CCC732" w14:textId="77777777">
      <w:pPr>
        <w:pStyle w:val="Heading1"/>
      </w:pPr>
      <w:r w:rsidRPr="001356F1">
        <w:t xml:space="preserve">Equalities impact </w:t>
      </w:r>
    </w:p>
    <w:p w:rsidRPr="00822F20" w:rsidR="00C347A1" w:rsidP="00C347A1" w:rsidRDefault="00C347A1" w14:paraId="1BFA0806" w14:textId="780DDE71">
      <w:pPr>
        <w:pStyle w:val="ListParagraph"/>
        <w:rPr>
          <w:lang w:eastAsia="en-US"/>
        </w:rPr>
      </w:pPr>
      <w:r w:rsidRPr="5FEB26CB" w:rsidR="00C347A1">
        <w:rPr>
          <w:lang w:eastAsia="en-US"/>
        </w:rPr>
        <w:t xml:space="preserve">A two-stage approach to the </w:t>
      </w:r>
      <w:r w:rsidRPr="5FEB26CB" w:rsidR="00C347A1">
        <w:rPr>
          <w:lang w:eastAsia="en-US"/>
        </w:rPr>
        <w:t>Equali</w:t>
      </w:r>
      <w:r w:rsidRPr="5FEB26CB" w:rsidR="00C347A1">
        <w:rPr>
          <w:lang w:eastAsia="en-US"/>
        </w:rPr>
        <w:t>ty Impact Assessments (</w:t>
      </w:r>
      <w:r w:rsidRPr="5FEB26CB" w:rsidR="00C347A1">
        <w:rPr>
          <w:lang w:eastAsia="en-US"/>
        </w:rPr>
        <w:t>EqIA</w:t>
      </w:r>
      <w:r w:rsidRPr="5FEB26CB" w:rsidR="00C347A1">
        <w:rPr>
          <w:lang w:eastAsia="en-US"/>
        </w:rPr>
        <w:t xml:space="preserve">) </w:t>
      </w:r>
      <w:r w:rsidRPr="5FEB26CB" w:rsidR="004F7222">
        <w:rPr>
          <w:lang w:eastAsia="en-US"/>
        </w:rPr>
        <w:t>has</w:t>
      </w:r>
      <w:r w:rsidRPr="5FEB26CB" w:rsidR="00C347A1">
        <w:rPr>
          <w:lang w:eastAsia="en-US"/>
        </w:rPr>
        <w:t xml:space="preserve"> </w:t>
      </w:r>
      <w:r w:rsidRPr="5FEB26CB" w:rsidR="004F7222">
        <w:rPr>
          <w:lang w:eastAsia="en-US"/>
        </w:rPr>
        <w:t>been</w:t>
      </w:r>
      <w:r w:rsidRPr="5FEB26CB" w:rsidR="00C347A1">
        <w:rPr>
          <w:lang w:eastAsia="en-US"/>
        </w:rPr>
        <w:t xml:space="preserve"> followed for the Local Plan. The first phase </w:t>
      </w:r>
      <w:r w:rsidRPr="5FEB26CB" w:rsidR="00C347A1">
        <w:rPr>
          <w:lang w:eastAsia="en-US"/>
        </w:rPr>
        <w:t>comprise</w:t>
      </w:r>
      <w:r w:rsidRPr="5FEB26CB" w:rsidR="004F7222">
        <w:rPr>
          <w:lang w:eastAsia="en-US"/>
        </w:rPr>
        <w:t>d</w:t>
      </w:r>
      <w:r w:rsidRPr="5FEB26CB" w:rsidR="00C347A1">
        <w:rPr>
          <w:lang w:eastAsia="en-US"/>
        </w:rPr>
        <w:t xml:space="preserve"> of </w:t>
      </w:r>
      <w:r w:rsidRPr="5FEB26CB" w:rsidR="00C347A1">
        <w:rPr>
          <w:lang w:eastAsia="en-US"/>
        </w:rPr>
        <w:t>an initial</w:t>
      </w:r>
      <w:r w:rsidRPr="5FEB26CB" w:rsidR="00C347A1">
        <w:rPr>
          <w:lang w:eastAsia="en-US"/>
        </w:rPr>
        <w:t xml:space="preserve"> assessment of the policy areas within the Preferred Options </w:t>
      </w:r>
      <w:r w:rsidRPr="5FEB26CB" w:rsidR="004F7222">
        <w:rPr>
          <w:lang w:eastAsia="en-US"/>
        </w:rPr>
        <w:t xml:space="preserve">Document. The second phase has looked at the policies as drafted in the Proposed Submission </w:t>
      </w:r>
      <w:r w:rsidRPr="5FEB26CB" w:rsidR="005D4044">
        <w:rPr>
          <w:lang w:eastAsia="en-US"/>
        </w:rPr>
        <w:t>Draft Local Plan</w:t>
      </w:r>
      <w:r w:rsidRPr="5FEB26CB" w:rsidR="004F7222">
        <w:rPr>
          <w:lang w:eastAsia="en-US"/>
        </w:rPr>
        <w:t xml:space="preserve"> (attached as Appendix </w:t>
      </w:r>
      <w:r w:rsidRPr="5FEB26CB" w:rsidR="79399767">
        <w:rPr>
          <w:lang w:eastAsia="en-US"/>
        </w:rPr>
        <w:t>7</w:t>
      </w:r>
      <w:r w:rsidRPr="5FEB26CB" w:rsidR="004F7222">
        <w:rPr>
          <w:lang w:eastAsia="en-US"/>
        </w:rPr>
        <w:t>). C</w:t>
      </w:r>
      <w:r w:rsidR="004F7222">
        <w:rPr/>
        <w:t xml:space="preserve">onsultation on the </w:t>
      </w:r>
      <w:r w:rsidR="004F7222">
        <w:rPr/>
        <w:t>EqIA</w:t>
      </w:r>
      <w:r w:rsidR="004F7222">
        <w:rPr/>
        <w:t xml:space="preserve"> will be combined with the consultation beginning on </w:t>
      </w:r>
      <w:r w:rsidR="00AD2B39">
        <w:rPr/>
        <w:t>10</w:t>
      </w:r>
      <w:r w:rsidRPr="5FEB26CB" w:rsidR="00AD2B39">
        <w:rPr>
          <w:vertAlign w:val="superscript"/>
        </w:rPr>
        <w:t>th</w:t>
      </w:r>
      <w:r w:rsidR="00AD2B39">
        <w:rPr/>
        <w:t xml:space="preserve"> </w:t>
      </w:r>
      <w:r w:rsidR="004F7222">
        <w:rPr/>
        <w:t xml:space="preserve"> November</w:t>
      </w:r>
      <w:r w:rsidR="004F7222">
        <w:rPr/>
        <w:t xml:space="preserve">. </w:t>
      </w:r>
    </w:p>
    <w:p w:rsidRPr="001356F1" w:rsidR="00E206D6" w:rsidP="00E206D6" w:rsidRDefault="00E206D6" w14:paraId="2946DB82" w14:textId="77777777">
      <w:pPr>
        <w:pStyle w:val="ListParagraph"/>
        <w:numPr>
          <w:ilvl w:val="0"/>
          <w:numId w:val="0"/>
        </w:numPr>
        <w:ind w:left="426"/>
      </w:pPr>
    </w:p>
    <w:p w:rsidRPr="001356F1" w:rsidR="002329CF" w:rsidP="004A6D2F" w:rsidRDefault="002329CF" w14:paraId="5997CC1D" w14:textId="77777777"/>
    <w:tbl>
      <w:tblPr>
        <w:tblW w:w="0" w:type="auto"/>
        <w:tblInd w:w="108" w:type="dxa"/>
        <w:tblBorders>
          <w:top w:val="single" w:color="C0504D" w:sz="4" w:space="0"/>
          <w:left w:val="single" w:color="C0504D" w:sz="4" w:space="0"/>
          <w:bottom w:val="single" w:color="C0504D" w:sz="4" w:space="0"/>
          <w:right w:val="single" w:color="C0504D" w:sz="4" w:space="0"/>
        </w:tblBorders>
        <w:tblLook w:val="04A0" w:firstRow="1" w:lastRow="0" w:firstColumn="1" w:lastColumn="0" w:noHBand="0" w:noVBand="1"/>
      </w:tblPr>
      <w:tblGrid>
        <w:gridCol w:w="3534"/>
        <w:gridCol w:w="4530"/>
      </w:tblGrid>
      <w:tr w:rsidRPr="001356F1" w:rsidR="00DF093E" w:rsidTr="00A33523" w14:paraId="73198060" w14:textId="77777777">
        <w:trPr>
          <w:cantSplit/>
          <w:trHeight w:val="396"/>
        </w:trPr>
        <w:tc>
          <w:tcPr>
            <w:tcW w:w="3611" w:type="dxa"/>
            <w:tcBorders>
              <w:top w:val="single" w:color="000000" w:sz="8" w:space="0"/>
              <w:left w:val="single" w:color="000000" w:sz="8" w:space="0"/>
              <w:bottom w:val="single" w:color="000000" w:sz="8" w:space="0"/>
              <w:right w:val="nil"/>
            </w:tcBorders>
            <w:shd w:val="clear" w:color="auto" w:fill="auto"/>
          </w:tcPr>
          <w:p w:rsidRPr="001356F1" w:rsidR="00E87F7A" w:rsidP="00A46E98" w:rsidRDefault="00E87F7A" w14:paraId="4AF56EC6" w14:textId="77777777">
            <w:pPr>
              <w:rPr>
                <w:b/>
              </w:rPr>
            </w:pPr>
            <w:r w:rsidRPr="001356F1">
              <w:rPr>
                <w:b/>
              </w:rPr>
              <w:t>Report author</w:t>
            </w:r>
          </w:p>
        </w:tc>
        <w:tc>
          <w:tcPr>
            <w:tcW w:w="4689" w:type="dxa"/>
            <w:tcBorders>
              <w:top w:val="single" w:color="000000" w:sz="8" w:space="0"/>
              <w:left w:val="nil"/>
              <w:bottom w:val="single" w:color="000000" w:sz="8" w:space="0"/>
              <w:right w:val="single" w:color="000000" w:sz="8" w:space="0"/>
            </w:tcBorders>
            <w:shd w:val="clear" w:color="auto" w:fill="auto"/>
          </w:tcPr>
          <w:p w:rsidRPr="001356F1" w:rsidR="00E87F7A" w:rsidP="00A46E98" w:rsidRDefault="00E87F7A" w14:paraId="110FFD37" w14:textId="77777777"/>
        </w:tc>
      </w:tr>
      <w:tr w:rsidRPr="001356F1" w:rsidR="00DF093E" w:rsidTr="00A33523" w14:paraId="5F4D2911" w14:textId="77777777">
        <w:trPr>
          <w:cantSplit/>
          <w:trHeight w:val="396"/>
        </w:trPr>
        <w:tc>
          <w:tcPr>
            <w:tcW w:w="3611" w:type="dxa"/>
            <w:tcBorders>
              <w:top w:val="single" w:color="000000" w:sz="8" w:space="0"/>
              <w:left w:val="single" w:color="000000" w:sz="8" w:space="0"/>
              <w:bottom w:val="nil"/>
              <w:right w:val="nil"/>
            </w:tcBorders>
            <w:shd w:val="clear" w:color="auto" w:fill="auto"/>
          </w:tcPr>
          <w:p w:rsidRPr="001356F1" w:rsidR="00E87F7A" w:rsidP="00A46E98" w:rsidRDefault="00E87F7A" w14:paraId="4522F6CB" w14:textId="77777777">
            <w:r w:rsidRPr="001356F1">
              <w:t>Job title</w:t>
            </w:r>
          </w:p>
        </w:tc>
        <w:tc>
          <w:tcPr>
            <w:tcW w:w="4689" w:type="dxa"/>
            <w:tcBorders>
              <w:top w:val="single" w:color="000000" w:sz="8" w:space="0"/>
              <w:left w:val="nil"/>
              <w:bottom w:val="nil"/>
              <w:right w:val="single" w:color="000000" w:sz="8" w:space="0"/>
            </w:tcBorders>
            <w:shd w:val="clear" w:color="auto" w:fill="auto"/>
          </w:tcPr>
          <w:p w:rsidRPr="001356F1" w:rsidR="00E87F7A" w:rsidP="00A46E98" w:rsidRDefault="00E87F7A" w14:paraId="6B699379" w14:textId="77777777"/>
        </w:tc>
      </w:tr>
      <w:tr w:rsidRPr="001356F1" w:rsidR="00DF093E" w:rsidTr="00A33523" w14:paraId="43A2E07F" w14:textId="77777777">
        <w:trPr>
          <w:cantSplit/>
          <w:trHeight w:val="396"/>
        </w:trPr>
        <w:tc>
          <w:tcPr>
            <w:tcW w:w="3611" w:type="dxa"/>
            <w:tcBorders>
              <w:top w:val="nil"/>
              <w:left w:val="single" w:color="000000" w:sz="8" w:space="0"/>
              <w:bottom w:val="nil"/>
              <w:right w:val="nil"/>
            </w:tcBorders>
            <w:shd w:val="clear" w:color="auto" w:fill="auto"/>
          </w:tcPr>
          <w:p w:rsidRPr="001356F1" w:rsidR="00E87F7A" w:rsidP="00A46E98" w:rsidRDefault="00E87F7A" w14:paraId="3B78D344" w14:textId="77777777">
            <w:r w:rsidRPr="001356F1">
              <w:t>Service area or department</w:t>
            </w:r>
          </w:p>
        </w:tc>
        <w:tc>
          <w:tcPr>
            <w:tcW w:w="4689" w:type="dxa"/>
            <w:tcBorders>
              <w:top w:val="nil"/>
              <w:left w:val="nil"/>
              <w:bottom w:val="nil"/>
              <w:right w:val="single" w:color="000000" w:sz="8" w:space="0"/>
            </w:tcBorders>
            <w:shd w:val="clear" w:color="auto" w:fill="auto"/>
          </w:tcPr>
          <w:p w:rsidRPr="001356F1" w:rsidR="00E87F7A" w:rsidP="00A46E98" w:rsidRDefault="00E87F7A" w14:paraId="3FE9F23F" w14:textId="77777777"/>
        </w:tc>
      </w:tr>
      <w:tr w:rsidRPr="001356F1" w:rsidR="00DF093E" w:rsidTr="00A33523" w14:paraId="25120248" w14:textId="77777777">
        <w:trPr>
          <w:cantSplit/>
          <w:trHeight w:val="396"/>
        </w:trPr>
        <w:tc>
          <w:tcPr>
            <w:tcW w:w="3611" w:type="dxa"/>
            <w:tcBorders>
              <w:top w:val="nil"/>
              <w:left w:val="single" w:color="000000" w:sz="8" w:space="0"/>
              <w:bottom w:val="nil"/>
              <w:right w:val="nil"/>
            </w:tcBorders>
            <w:shd w:val="clear" w:color="auto" w:fill="auto"/>
          </w:tcPr>
          <w:p w:rsidRPr="001356F1" w:rsidR="00E87F7A" w:rsidP="00A46E98" w:rsidRDefault="00E87F7A" w14:paraId="3B4DA591" w14:textId="77777777">
            <w:r w:rsidRPr="001356F1">
              <w:t xml:space="preserve">Telephone </w:t>
            </w:r>
          </w:p>
        </w:tc>
        <w:tc>
          <w:tcPr>
            <w:tcW w:w="4689" w:type="dxa"/>
            <w:tcBorders>
              <w:top w:val="nil"/>
              <w:left w:val="nil"/>
              <w:bottom w:val="nil"/>
              <w:right w:val="single" w:color="000000" w:sz="8" w:space="0"/>
            </w:tcBorders>
            <w:shd w:val="clear" w:color="auto" w:fill="auto"/>
          </w:tcPr>
          <w:p w:rsidRPr="001356F1" w:rsidR="00E87F7A" w:rsidP="003E78C6" w:rsidRDefault="00E87F7A" w14:paraId="1F72F646" w14:textId="77777777"/>
        </w:tc>
      </w:tr>
      <w:tr w:rsidRPr="001356F1" w:rsidR="005570B5" w:rsidTr="00A33523" w14:paraId="6E4D56DD" w14:textId="77777777">
        <w:trPr>
          <w:cantSplit/>
          <w:trHeight w:val="396"/>
        </w:trPr>
        <w:tc>
          <w:tcPr>
            <w:tcW w:w="3611" w:type="dxa"/>
            <w:tcBorders>
              <w:top w:val="nil"/>
              <w:left w:val="single" w:color="000000" w:sz="8" w:space="0"/>
              <w:bottom w:val="single" w:color="000000" w:sz="8" w:space="0"/>
              <w:right w:val="nil"/>
            </w:tcBorders>
            <w:shd w:val="clear" w:color="auto" w:fill="auto"/>
          </w:tcPr>
          <w:p w:rsidRPr="001356F1" w:rsidR="00E87F7A" w:rsidP="00A46E98" w:rsidRDefault="00E87F7A" w14:paraId="638EFD88" w14:textId="77777777">
            <w:r w:rsidRPr="001356F1">
              <w:t xml:space="preserve">e-mail </w:t>
            </w:r>
          </w:p>
        </w:tc>
        <w:tc>
          <w:tcPr>
            <w:tcW w:w="4689" w:type="dxa"/>
            <w:tcBorders>
              <w:top w:val="nil"/>
              <w:left w:val="nil"/>
              <w:bottom w:val="single" w:color="000000" w:sz="8" w:space="0"/>
              <w:right w:val="single" w:color="000000" w:sz="8" w:space="0"/>
            </w:tcBorders>
            <w:shd w:val="clear" w:color="auto" w:fill="auto"/>
          </w:tcPr>
          <w:p w:rsidRPr="001356F1" w:rsidR="00E87F7A" w:rsidP="00A46E98" w:rsidRDefault="00E87F7A" w14:paraId="08CE6F91" w14:textId="77777777">
            <w:pPr>
              <w:rPr>
                <w:rStyle w:val="Hyperlink"/>
                <w:color w:val="000000"/>
              </w:rPr>
            </w:pPr>
          </w:p>
        </w:tc>
      </w:tr>
    </w:tbl>
    <w:p w:rsidR="00B67F00" w:rsidP="00A33523" w:rsidRDefault="00B67F00" w14:paraId="61CDCEAD" w14:textId="77777777">
      <w:pPr>
        <w:spacing w:after="0"/>
        <w:rPr>
          <w:rFonts w:cs="Arial"/>
          <w:color w:val="auto"/>
          <w:lang w:eastAsia="en-US"/>
        </w:rPr>
      </w:pPr>
    </w:p>
    <w:p w:rsidRPr="001356F1" w:rsidR="00433B96" w:rsidP="004A6D2F" w:rsidRDefault="00433B96" w14:paraId="23DE523C" w14:textId="77777777"/>
    <w:p w:rsidR="00C97A82" w:rsidP="00C85B4E" w:rsidRDefault="00C97A82" w14:paraId="52E56223" w14:textId="77777777">
      <w:pPr>
        <w:rPr>
          <w:b/>
        </w:rPr>
      </w:pPr>
    </w:p>
    <w:p w:rsidRPr="0054712D" w:rsidR="0054712D" w:rsidP="00C85B4E" w:rsidRDefault="0054712D" w14:paraId="4E23DB42" w14:textId="77777777">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Pr="0054712D">
        <w:rPr>
          <w:b/>
        </w:rPr>
        <w:t>at each stage</w:t>
      </w:r>
    </w:p>
    <w:p w:rsidR="0054712D" w:rsidP="0093067A" w:rsidRDefault="0054712D" w14:paraId="07547A01"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2"/>
        <w:gridCol w:w="2551"/>
      </w:tblGrid>
      <w:tr w:rsidR="004456DD" w:rsidTr="0080749A" w14:paraId="285A0077" w14:textId="77777777">
        <w:trPr>
          <w:trHeight w:val="409"/>
        </w:trPr>
        <w:tc>
          <w:tcPr>
            <w:tcW w:w="5342" w:type="dxa"/>
            <w:shd w:val="clear" w:color="auto" w:fill="auto"/>
          </w:tcPr>
          <w:p w:rsidRPr="00E12C99" w:rsidR="004456DD" w:rsidP="00A21B12" w:rsidRDefault="004456DD" w14:paraId="4925E295" w14:textId="77777777">
            <w:pPr>
              <w:rPr>
                <w:b/>
              </w:rPr>
            </w:pPr>
            <w:r w:rsidRPr="00E12C99">
              <w:rPr>
                <w:b/>
              </w:rPr>
              <w:t>Report Stage</w:t>
            </w:r>
          </w:p>
        </w:tc>
        <w:tc>
          <w:tcPr>
            <w:tcW w:w="2551" w:type="dxa"/>
            <w:shd w:val="clear" w:color="auto" w:fill="auto"/>
          </w:tcPr>
          <w:p w:rsidRPr="0080749A" w:rsidR="004456DD" w:rsidP="00A21B12" w:rsidRDefault="004456DD" w14:paraId="574966AB" w14:textId="77777777">
            <w:pPr>
              <w:rPr>
                <w:b/>
              </w:rPr>
            </w:pPr>
            <w:r w:rsidRPr="00E12C99">
              <w:rPr>
                <w:b/>
              </w:rPr>
              <w:t>Version</w:t>
            </w:r>
            <w:r w:rsidR="0080749A">
              <w:rPr>
                <w:b/>
              </w:rPr>
              <w:t xml:space="preserve"> </w:t>
            </w:r>
            <w:r w:rsidRPr="00E12C99">
              <w:rPr>
                <w:b/>
              </w:rPr>
              <w:t>Number</w:t>
            </w:r>
          </w:p>
        </w:tc>
      </w:tr>
      <w:tr w:rsidR="004456DD" w:rsidTr="0080749A" w14:paraId="4B988D4D" w14:textId="77777777">
        <w:tc>
          <w:tcPr>
            <w:tcW w:w="5342" w:type="dxa"/>
            <w:shd w:val="clear" w:color="auto" w:fill="auto"/>
          </w:tcPr>
          <w:p w:rsidR="00C85B4E" w:rsidP="00A21B12" w:rsidRDefault="004456DD" w14:paraId="68BAB244" w14:textId="77777777">
            <w:r w:rsidRPr="00E12C99">
              <w:rPr>
                <w:b/>
              </w:rPr>
              <w:t>First Draft:</w:t>
            </w:r>
            <w:r>
              <w:t xml:space="preserve"> </w:t>
            </w:r>
          </w:p>
          <w:p w:rsidR="004456DD" w:rsidP="00A21B12" w:rsidRDefault="004456DD" w14:paraId="7A2A8E40" w14:textId="77777777">
            <w:r w:rsidRPr="00E12C99">
              <w:rPr>
                <w:i/>
              </w:rPr>
              <w:t>Commissioned and cleared by Director</w:t>
            </w:r>
          </w:p>
        </w:tc>
        <w:tc>
          <w:tcPr>
            <w:tcW w:w="2551" w:type="dxa"/>
            <w:shd w:val="clear" w:color="auto" w:fill="auto"/>
          </w:tcPr>
          <w:p w:rsidR="004456DD" w:rsidP="00A21B12" w:rsidRDefault="00617CDA" w14:paraId="25C8A97C" w14:textId="77777777">
            <w:r>
              <w:t>V1</w:t>
            </w:r>
          </w:p>
        </w:tc>
      </w:tr>
      <w:tr w:rsidR="004456DD" w:rsidTr="0080749A" w14:paraId="0569AF35" w14:textId="77777777">
        <w:tc>
          <w:tcPr>
            <w:tcW w:w="5342" w:type="dxa"/>
            <w:shd w:val="clear" w:color="auto" w:fill="auto"/>
          </w:tcPr>
          <w:p w:rsidRPr="00E12C99" w:rsidR="004456DD" w:rsidP="00A21B12" w:rsidRDefault="004456DD" w14:paraId="21EF52F5" w14:textId="77777777">
            <w:pPr>
              <w:rPr>
                <w:b/>
              </w:rPr>
            </w:pPr>
            <w:r w:rsidRPr="00E12C99">
              <w:rPr>
                <w:b/>
              </w:rPr>
              <w:t>Second Draft:</w:t>
            </w:r>
          </w:p>
          <w:p w:rsidRPr="00E12C99" w:rsidR="004456DD" w:rsidP="00A21B12" w:rsidRDefault="004456DD" w14:paraId="12B9A48A" w14:textId="77777777">
            <w:pPr>
              <w:rPr>
                <w:i/>
              </w:rPr>
            </w:pPr>
            <w:r w:rsidRPr="00E12C99">
              <w:rPr>
                <w:i/>
              </w:rPr>
              <w:t>Cleared by Legal and Finance</w:t>
            </w:r>
          </w:p>
        </w:tc>
        <w:tc>
          <w:tcPr>
            <w:tcW w:w="2551" w:type="dxa"/>
            <w:shd w:val="clear" w:color="auto" w:fill="auto"/>
          </w:tcPr>
          <w:p w:rsidR="004456DD" w:rsidP="00A21B12" w:rsidRDefault="00BA7441" w14:paraId="57FA01D8" w14:textId="77777777">
            <w:r>
              <w:t>V2</w:t>
            </w:r>
          </w:p>
        </w:tc>
      </w:tr>
      <w:tr w:rsidR="004456DD" w:rsidTr="0080749A" w14:paraId="12697016" w14:textId="77777777">
        <w:tc>
          <w:tcPr>
            <w:tcW w:w="5342" w:type="dxa"/>
            <w:shd w:val="clear" w:color="auto" w:fill="auto"/>
          </w:tcPr>
          <w:p w:rsidRPr="00E12C99" w:rsidR="004456DD" w:rsidP="00A21B12" w:rsidRDefault="004456DD" w14:paraId="0CBA5BAC" w14:textId="77777777">
            <w:pPr>
              <w:rPr>
                <w:b/>
              </w:rPr>
            </w:pPr>
            <w:r w:rsidRPr="00E12C99">
              <w:rPr>
                <w:b/>
              </w:rPr>
              <w:t>Organisational Draft:</w:t>
            </w:r>
          </w:p>
          <w:p w:rsidRPr="00E12C99" w:rsidR="004456DD" w:rsidP="00A21B12" w:rsidRDefault="004456DD" w14:paraId="7812A445" w14:textId="77777777">
            <w:pPr>
              <w:rPr>
                <w:i/>
              </w:rPr>
            </w:pPr>
            <w:r w:rsidRPr="00E12C99">
              <w:rPr>
                <w:i/>
              </w:rPr>
              <w:t>Cleared by the Chief Executive</w:t>
            </w:r>
          </w:p>
        </w:tc>
        <w:tc>
          <w:tcPr>
            <w:tcW w:w="2551" w:type="dxa"/>
            <w:shd w:val="clear" w:color="auto" w:fill="auto"/>
          </w:tcPr>
          <w:p w:rsidR="004456DD" w:rsidP="00A21B12" w:rsidRDefault="004456DD" w14:paraId="5043CB0F" w14:textId="77777777"/>
        </w:tc>
      </w:tr>
      <w:tr w:rsidR="004456DD" w:rsidTr="0080749A" w14:paraId="7CF1E16D" w14:textId="77777777">
        <w:tc>
          <w:tcPr>
            <w:tcW w:w="5342" w:type="dxa"/>
            <w:shd w:val="clear" w:color="auto" w:fill="auto"/>
          </w:tcPr>
          <w:p w:rsidRPr="00E12C99" w:rsidR="004456DD" w:rsidP="00A21B12" w:rsidRDefault="004456DD" w14:paraId="024668BD" w14:textId="77777777">
            <w:pPr>
              <w:rPr>
                <w:b/>
              </w:rPr>
            </w:pPr>
            <w:r w:rsidRPr="00E12C99">
              <w:rPr>
                <w:b/>
              </w:rPr>
              <w:t>Final Draft:</w:t>
            </w:r>
          </w:p>
          <w:p w:rsidRPr="00E12C99" w:rsidR="004456DD" w:rsidP="00A21B12" w:rsidRDefault="004456DD" w14:paraId="7759240D" w14:textId="77777777">
            <w:pPr>
              <w:rPr>
                <w:i/>
              </w:rPr>
            </w:pPr>
            <w:r w:rsidRPr="00E12C99">
              <w:rPr>
                <w:i/>
              </w:rPr>
              <w:t>Cleared by the Board Member</w:t>
            </w:r>
          </w:p>
        </w:tc>
        <w:tc>
          <w:tcPr>
            <w:tcW w:w="2551" w:type="dxa"/>
            <w:shd w:val="clear" w:color="auto" w:fill="auto"/>
          </w:tcPr>
          <w:p w:rsidR="004456DD" w:rsidP="00A21B12" w:rsidRDefault="004456DD" w14:paraId="07459315" w14:textId="77777777"/>
        </w:tc>
      </w:tr>
      <w:tr w:rsidR="004456DD" w:rsidTr="0080749A" w14:paraId="4C097386" w14:textId="77777777">
        <w:tc>
          <w:tcPr>
            <w:tcW w:w="5342" w:type="dxa"/>
            <w:shd w:val="clear" w:color="auto" w:fill="auto"/>
          </w:tcPr>
          <w:p w:rsidRPr="00E12C99" w:rsidR="004456DD" w:rsidP="00A21B12" w:rsidRDefault="004456DD" w14:paraId="4BA8AC84" w14:textId="77777777">
            <w:pPr>
              <w:rPr>
                <w:b/>
              </w:rPr>
            </w:pPr>
            <w:r w:rsidRPr="00E12C99">
              <w:rPr>
                <w:b/>
              </w:rPr>
              <w:t>Final Report:</w:t>
            </w:r>
          </w:p>
          <w:p w:rsidRPr="00E12C99" w:rsidR="004456DD" w:rsidP="00A21B12" w:rsidRDefault="004456DD" w14:paraId="6A3D97CE" w14:textId="77777777">
            <w:pPr>
              <w:rPr>
                <w:i/>
              </w:rPr>
            </w:pPr>
            <w:r w:rsidRPr="00E12C99">
              <w:rPr>
                <w:i/>
              </w:rPr>
              <w:t>Cleared by Labour Group</w:t>
            </w:r>
          </w:p>
        </w:tc>
        <w:tc>
          <w:tcPr>
            <w:tcW w:w="2551" w:type="dxa"/>
            <w:shd w:val="clear" w:color="auto" w:fill="auto"/>
          </w:tcPr>
          <w:p w:rsidR="004456DD" w:rsidP="00A21B12" w:rsidRDefault="004456DD" w14:paraId="6537F28F" w14:textId="77777777"/>
        </w:tc>
      </w:tr>
    </w:tbl>
    <w:p w:rsidR="00402750" w:rsidP="00286A3C" w:rsidRDefault="00402750" w14:paraId="6DFB9E20" w14:textId="77777777">
      <w:pPr>
        <w:spacing w:after="0"/>
        <w:rPr>
          <w:rFonts w:cs="Arial" w:eastAsiaTheme="minorHAnsi"/>
          <w:i/>
          <w:color w:val="auto"/>
          <w:lang w:eastAsia="en-US"/>
        </w:rPr>
      </w:pPr>
    </w:p>
    <w:p w:rsidRPr="00286A3C" w:rsidR="00286A3C" w:rsidP="00286A3C" w:rsidRDefault="00286A3C" w14:paraId="70DF9E56" w14:textId="77777777">
      <w:pPr>
        <w:spacing w:after="0"/>
        <w:rPr>
          <w:rFonts w:cs="Arial" w:eastAsiaTheme="minorHAnsi"/>
          <w:b/>
          <w:color w:val="auto"/>
          <w:lang w:eastAsia="en-US"/>
        </w:rPr>
      </w:pPr>
    </w:p>
    <w:p w:rsidRPr="009E51FC" w:rsidR="004456DD" w:rsidP="0093067A" w:rsidRDefault="004456DD" w14:paraId="44E871BC" w14:textId="77777777"/>
    <w:sectPr w:rsidRPr="009E51FC" w:rsidR="004456DD" w:rsidSect="008F18F4">
      <w:footerReference w:type="even" r:id="rId15"/>
      <w:headerReference w:type="first" r:id="rId16"/>
      <w:footerReference w:type="first" r:id="rId17"/>
      <w:pgSz w:w="11906" w:h="16838" w:orient="portrait" w:code="9"/>
      <w:pgMar w:top="1418" w:right="1304" w:bottom="1304" w:left="2410" w:header="1134"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D12" w:rsidP="004A6D2F" w:rsidRDefault="00D63D12" w14:paraId="144A5D23" w14:textId="77777777">
      <w:r>
        <w:separator/>
      </w:r>
    </w:p>
  </w:endnote>
  <w:endnote w:type="continuationSeparator" w:id="0">
    <w:p w:rsidR="00D63D12" w:rsidP="004A6D2F" w:rsidRDefault="00D63D12" w14:paraId="738610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FAD" w:rsidP="004A6D2F" w:rsidRDefault="00364FAD" w14:paraId="0BEFCE2C" w14:textId="77777777">
    <w:pPr>
      <w:pStyle w:val="Footer"/>
    </w:pPr>
    <w:r>
      <w:t>Do not use a footer or page numbers.</w:t>
    </w:r>
  </w:p>
  <w:p w:rsidR="00364FAD" w:rsidP="004A6D2F" w:rsidRDefault="00364FAD" w14:paraId="3A0FF5F2" w14:textId="77777777">
    <w:pPr>
      <w:pStyle w:val="Footer"/>
    </w:pPr>
  </w:p>
  <w:p w:rsidR="00364FAD" w:rsidP="004A6D2F" w:rsidRDefault="00364FAD" w14:paraId="5630AD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1B5" w:rsidP="004A6D2F" w:rsidRDefault="00745BF0" w14:paraId="02614873" w14:textId="77777777">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D12" w:rsidP="004A6D2F" w:rsidRDefault="00D63D12" w14:paraId="463F29E8" w14:textId="77777777">
      <w:r>
        <w:separator/>
      </w:r>
    </w:p>
  </w:footnote>
  <w:footnote w:type="continuationSeparator" w:id="0">
    <w:p w:rsidR="00D63D12" w:rsidP="004A6D2F" w:rsidRDefault="00D63D12" w14:paraId="3B7B4B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547E" w:rsidP="00D5547E" w:rsidRDefault="000D62EE" w14:paraId="637805D2" w14:textId="77777777">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63E5A"/>
    <w:multiLevelType w:val="hybridMultilevel"/>
    <w:tmpl w:val="AA06318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6D3DD2"/>
    <w:multiLevelType w:val="multilevel"/>
    <w:tmpl w:val="ACA8568A"/>
    <w:lvl w:ilvl="0">
      <w:start w:val="1"/>
      <w:numFmt w:val="bullet"/>
      <w:lvlText w:val=""/>
      <w:lvlJc w:val="left"/>
      <w:pPr>
        <w:ind w:left="1431" w:hanging="360"/>
      </w:pPr>
      <w:rPr>
        <w:rFonts w:hint="default" w:ascii="Wingdings" w:hAnsi="Wingdings"/>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15:restartNumberingAfterBreak="0">
    <w:nsid w:val="1D201521"/>
    <w:multiLevelType w:val="hybridMultilevel"/>
    <w:tmpl w:val="663ECD58"/>
    <w:lvl w:ilvl="0" w:tplc="5E3ECA08">
      <w:start w:val="1"/>
      <w:numFmt w:val="decimal"/>
      <w:lvlText w:val="%1."/>
      <w:lvlJc w:val="left"/>
      <w:pPr>
        <w:ind w:left="420" w:hanging="360"/>
      </w:pPr>
      <w:rPr>
        <w:rFonts w:ascii="Arial" w:hAnsi="Arial" w:eastAsia="Times New Roman" w:cs="Arial"/>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26DDE"/>
    <w:multiLevelType w:val="hybridMultilevel"/>
    <w:tmpl w:val="62642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371691"/>
    <w:multiLevelType w:val="hybridMultilevel"/>
    <w:tmpl w:val="7D92CE7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997200"/>
    <w:multiLevelType w:val="hybridMultilevel"/>
    <w:tmpl w:val="675A832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D57ABE"/>
    <w:multiLevelType w:val="hybridMultilevel"/>
    <w:tmpl w:val="57968CC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9476206"/>
    <w:multiLevelType w:val="hybridMultilevel"/>
    <w:tmpl w:val="94BC82A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2722F66"/>
    <w:multiLevelType w:val="hybridMultilevel"/>
    <w:tmpl w:val="C5A85220"/>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E110345"/>
    <w:multiLevelType w:val="hybridMultilevel"/>
    <w:tmpl w:val="1F9C1684"/>
    <w:lvl w:ilvl="0" w:tplc="08090003">
      <w:start w:val="1"/>
      <w:numFmt w:val="bullet"/>
      <w:lvlText w:val="o"/>
      <w:lvlJc w:val="left"/>
      <w:pPr>
        <w:ind w:left="1280" w:hanging="360"/>
      </w:pPr>
      <w:rPr>
        <w:rFonts w:hint="default" w:ascii="Courier New" w:hAnsi="Courier New" w:cs="Courier New"/>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13" w15:restartNumberingAfterBreak="0">
    <w:nsid w:val="5E8F6652"/>
    <w:multiLevelType w:val="hybridMultilevel"/>
    <w:tmpl w:val="3224140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DDA08"/>
    <w:multiLevelType w:val="multilevel"/>
    <w:tmpl w:val="262837AC"/>
    <w:lvl w:ilvl="0">
      <w:start w:val="46"/>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8365C6"/>
    <w:multiLevelType w:val="hybridMultilevel"/>
    <w:tmpl w:val="E67CE66C"/>
    <w:numStyleLink w:val="StyleNumberedLeft0cmHanging075cm"/>
  </w:abstractNum>
  <w:abstractNum w:abstractNumId="17" w15:restartNumberingAfterBreak="0">
    <w:nsid w:val="7E0A6A1D"/>
    <w:multiLevelType w:val="hybridMultilevel"/>
    <w:tmpl w:val="5CEC1FAA"/>
    <w:lvl w:ilvl="0" w:tplc="283CCBCA">
      <w:start w:val="1"/>
      <w:numFmt w:val="bullet"/>
      <w:lvlText w:val=""/>
      <w:lvlJc w:val="left"/>
      <w:pPr>
        <w:ind w:left="720" w:hanging="360"/>
      </w:pPr>
      <w:rPr>
        <w:rFonts w:hint="default" w:ascii="Symbol" w:hAnsi="Symbol"/>
      </w:rPr>
    </w:lvl>
    <w:lvl w:ilvl="1" w:tplc="A4606AD4">
      <w:start w:val="1"/>
      <w:numFmt w:val="bullet"/>
      <w:lvlText w:val="o"/>
      <w:lvlJc w:val="left"/>
      <w:pPr>
        <w:ind w:left="1440" w:hanging="360"/>
      </w:pPr>
      <w:rPr>
        <w:rFonts w:hint="default" w:ascii="Courier New" w:hAnsi="Courier New"/>
      </w:rPr>
    </w:lvl>
    <w:lvl w:ilvl="2" w:tplc="C6729A0C">
      <w:start w:val="1"/>
      <w:numFmt w:val="bullet"/>
      <w:lvlText w:val=""/>
      <w:lvlJc w:val="left"/>
      <w:pPr>
        <w:ind w:left="2160" w:hanging="360"/>
      </w:pPr>
      <w:rPr>
        <w:rFonts w:hint="default" w:ascii="Wingdings" w:hAnsi="Wingdings"/>
      </w:rPr>
    </w:lvl>
    <w:lvl w:ilvl="3" w:tplc="3788B57A">
      <w:start w:val="1"/>
      <w:numFmt w:val="bullet"/>
      <w:lvlText w:val=""/>
      <w:lvlJc w:val="left"/>
      <w:pPr>
        <w:ind w:left="2880" w:hanging="360"/>
      </w:pPr>
      <w:rPr>
        <w:rFonts w:hint="default" w:ascii="Symbol" w:hAnsi="Symbol"/>
      </w:rPr>
    </w:lvl>
    <w:lvl w:ilvl="4" w:tplc="B4E657DC">
      <w:start w:val="1"/>
      <w:numFmt w:val="bullet"/>
      <w:lvlText w:val="o"/>
      <w:lvlJc w:val="left"/>
      <w:pPr>
        <w:ind w:left="3600" w:hanging="360"/>
      </w:pPr>
      <w:rPr>
        <w:rFonts w:hint="default" w:ascii="Courier New" w:hAnsi="Courier New"/>
      </w:rPr>
    </w:lvl>
    <w:lvl w:ilvl="5" w:tplc="E52C6D38">
      <w:start w:val="1"/>
      <w:numFmt w:val="bullet"/>
      <w:lvlText w:val=""/>
      <w:lvlJc w:val="left"/>
      <w:pPr>
        <w:ind w:left="4320" w:hanging="360"/>
      </w:pPr>
      <w:rPr>
        <w:rFonts w:hint="default" w:ascii="Wingdings" w:hAnsi="Wingdings"/>
      </w:rPr>
    </w:lvl>
    <w:lvl w:ilvl="6" w:tplc="93466F06">
      <w:start w:val="1"/>
      <w:numFmt w:val="bullet"/>
      <w:lvlText w:val=""/>
      <w:lvlJc w:val="left"/>
      <w:pPr>
        <w:ind w:left="5040" w:hanging="360"/>
      </w:pPr>
      <w:rPr>
        <w:rFonts w:hint="default" w:ascii="Symbol" w:hAnsi="Symbol"/>
      </w:rPr>
    </w:lvl>
    <w:lvl w:ilvl="7" w:tplc="C7C68204">
      <w:start w:val="1"/>
      <w:numFmt w:val="bullet"/>
      <w:lvlText w:val="o"/>
      <w:lvlJc w:val="left"/>
      <w:pPr>
        <w:ind w:left="5760" w:hanging="360"/>
      </w:pPr>
      <w:rPr>
        <w:rFonts w:hint="default" w:ascii="Courier New" w:hAnsi="Courier New"/>
      </w:rPr>
    </w:lvl>
    <w:lvl w:ilvl="8" w:tplc="37BEFC56">
      <w:start w:val="1"/>
      <w:numFmt w:val="bullet"/>
      <w:lvlText w:val=""/>
      <w:lvlJc w:val="left"/>
      <w:pPr>
        <w:ind w:left="6480" w:hanging="360"/>
      </w:pPr>
      <w:rPr>
        <w:rFonts w:hint="default" w:ascii="Wingdings" w:hAnsi="Wingdings"/>
      </w:rPr>
    </w:lvl>
  </w:abstractNum>
  <w:num w:numId="1" w16cid:durableId="1813134003">
    <w:abstractNumId w:val="17"/>
  </w:num>
  <w:num w:numId="2" w16cid:durableId="795568478">
    <w:abstractNumId w:val="15"/>
  </w:num>
  <w:num w:numId="3" w16cid:durableId="599332810">
    <w:abstractNumId w:val="0"/>
  </w:num>
  <w:num w:numId="4" w16cid:durableId="512915959">
    <w:abstractNumId w:val="16"/>
    <w:lvlOverride w:ilvl="0">
      <w:lvl w:ilvl="0" w:tplc="60CC0056">
        <w:numFmt w:val="decimal"/>
        <w:pStyle w:val="ListParagraph"/>
        <w:lvlText w:val="%1."/>
        <w:lvlJc w:val="left"/>
        <w:pPr>
          <w:ind w:left="502" w:hanging="360"/>
        </w:pPr>
        <w:rPr>
          <w:b w:val="0"/>
          <w:i w:val="0"/>
          <w:color w:val="000000"/>
          <w:sz w:val="24"/>
        </w:rPr>
      </w:lvl>
    </w:lvlOverride>
  </w:num>
  <w:num w:numId="5" w16cid:durableId="940190106">
    <w:abstractNumId w:val="5"/>
  </w:num>
  <w:num w:numId="6" w16cid:durableId="715668219">
    <w:abstractNumId w:val="1"/>
  </w:num>
  <w:num w:numId="7" w16cid:durableId="735590831">
    <w:abstractNumId w:val="14"/>
  </w:num>
  <w:num w:numId="8" w16cid:durableId="1892885163">
    <w:abstractNumId w:val="7"/>
  </w:num>
  <w:num w:numId="9" w16cid:durableId="1693453731">
    <w:abstractNumId w:val="13"/>
  </w:num>
  <w:num w:numId="10" w16cid:durableId="1090389358">
    <w:abstractNumId w:val="9"/>
  </w:num>
  <w:num w:numId="11" w16cid:durableId="589586715">
    <w:abstractNumId w:val="8"/>
  </w:num>
  <w:num w:numId="12" w16cid:durableId="489565750">
    <w:abstractNumId w:val="10"/>
  </w:num>
  <w:num w:numId="13" w16cid:durableId="610094723">
    <w:abstractNumId w:val="3"/>
  </w:num>
  <w:num w:numId="14" w16cid:durableId="1585649957">
    <w:abstractNumId w:val="2"/>
  </w:num>
  <w:num w:numId="15" w16cid:durableId="880703722">
    <w:abstractNumId w:val="11"/>
  </w:num>
  <w:num w:numId="16" w16cid:durableId="1104038542">
    <w:abstractNumId w:val="4"/>
  </w:num>
  <w:num w:numId="17" w16cid:durableId="96295213">
    <w:abstractNumId w:val="6"/>
  </w:num>
  <w:num w:numId="18" w16cid:durableId="1509563242">
    <w:abstractNumId w:val="12"/>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val="false"/>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EE"/>
    <w:rsid w:val="000038C5"/>
    <w:rsid w:val="000063DB"/>
    <w:rsid w:val="000103A6"/>
    <w:rsid w:val="00011494"/>
    <w:rsid w:val="000117D4"/>
    <w:rsid w:val="00014E23"/>
    <w:rsid w:val="000247F6"/>
    <w:rsid w:val="000314D7"/>
    <w:rsid w:val="000330EF"/>
    <w:rsid w:val="000360F7"/>
    <w:rsid w:val="00045F8B"/>
    <w:rsid w:val="00046D2B"/>
    <w:rsid w:val="000478C5"/>
    <w:rsid w:val="00051EAF"/>
    <w:rsid w:val="00056263"/>
    <w:rsid w:val="00064D8A"/>
    <w:rsid w:val="00064F82"/>
    <w:rsid w:val="00065DFF"/>
    <w:rsid w:val="00066510"/>
    <w:rsid w:val="000707EE"/>
    <w:rsid w:val="0007346C"/>
    <w:rsid w:val="00077523"/>
    <w:rsid w:val="000B168A"/>
    <w:rsid w:val="000B722F"/>
    <w:rsid w:val="000C089F"/>
    <w:rsid w:val="000C3928"/>
    <w:rsid w:val="000C5E8E"/>
    <w:rsid w:val="000D62EE"/>
    <w:rsid w:val="000E1091"/>
    <w:rsid w:val="000E76D4"/>
    <w:rsid w:val="000F213D"/>
    <w:rsid w:val="000F4751"/>
    <w:rsid w:val="00100646"/>
    <w:rsid w:val="00101D71"/>
    <w:rsid w:val="0010524C"/>
    <w:rsid w:val="001103F8"/>
    <w:rsid w:val="00111FB1"/>
    <w:rsid w:val="00113418"/>
    <w:rsid w:val="00123442"/>
    <w:rsid w:val="001356F1"/>
    <w:rsid w:val="00136994"/>
    <w:rsid w:val="0014128E"/>
    <w:rsid w:val="00143224"/>
    <w:rsid w:val="00150631"/>
    <w:rsid w:val="00151888"/>
    <w:rsid w:val="00151AAE"/>
    <w:rsid w:val="0015205B"/>
    <w:rsid w:val="001616C8"/>
    <w:rsid w:val="0016359D"/>
    <w:rsid w:val="0016719A"/>
    <w:rsid w:val="00170154"/>
    <w:rsid w:val="00170A2D"/>
    <w:rsid w:val="001808BC"/>
    <w:rsid w:val="00182B81"/>
    <w:rsid w:val="0018619D"/>
    <w:rsid w:val="00190BC8"/>
    <w:rsid w:val="001A011E"/>
    <w:rsid w:val="001A066A"/>
    <w:rsid w:val="001A13E6"/>
    <w:rsid w:val="001A5731"/>
    <w:rsid w:val="001B42C3"/>
    <w:rsid w:val="001C40AF"/>
    <w:rsid w:val="001C5D5E"/>
    <w:rsid w:val="001C70BA"/>
    <w:rsid w:val="001D678D"/>
    <w:rsid w:val="001E03F8"/>
    <w:rsid w:val="001E10E3"/>
    <w:rsid w:val="001E1678"/>
    <w:rsid w:val="001E3376"/>
    <w:rsid w:val="00205483"/>
    <w:rsid w:val="00205E65"/>
    <w:rsid w:val="002069B3"/>
    <w:rsid w:val="002329CF"/>
    <w:rsid w:val="00232F5B"/>
    <w:rsid w:val="00235E0C"/>
    <w:rsid w:val="00237886"/>
    <w:rsid w:val="00242384"/>
    <w:rsid w:val="00243348"/>
    <w:rsid w:val="00243C8E"/>
    <w:rsid w:val="00247C29"/>
    <w:rsid w:val="00260467"/>
    <w:rsid w:val="00261974"/>
    <w:rsid w:val="00261E9F"/>
    <w:rsid w:val="00263EA3"/>
    <w:rsid w:val="00284F85"/>
    <w:rsid w:val="0028694C"/>
    <w:rsid w:val="00286A3C"/>
    <w:rsid w:val="0029077A"/>
    <w:rsid w:val="00290915"/>
    <w:rsid w:val="00294393"/>
    <w:rsid w:val="002A22E2"/>
    <w:rsid w:val="002C3D3C"/>
    <w:rsid w:val="002C57B0"/>
    <w:rsid w:val="002C64F7"/>
    <w:rsid w:val="002E2493"/>
    <w:rsid w:val="002F21B3"/>
    <w:rsid w:val="002F41F2"/>
    <w:rsid w:val="00301BF3"/>
    <w:rsid w:val="0030208D"/>
    <w:rsid w:val="00303F71"/>
    <w:rsid w:val="00304501"/>
    <w:rsid w:val="003059CA"/>
    <w:rsid w:val="003158FD"/>
    <w:rsid w:val="00322E8A"/>
    <w:rsid w:val="00323418"/>
    <w:rsid w:val="00332B7B"/>
    <w:rsid w:val="003357BF"/>
    <w:rsid w:val="003367F1"/>
    <w:rsid w:val="00336907"/>
    <w:rsid w:val="003375F4"/>
    <w:rsid w:val="0034330E"/>
    <w:rsid w:val="003561B2"/>
    <w:rsid w:val="00364FAD"/>
    <w:rsid w:val="0036738F"/>
    <w:rsid w:val="0036759C"/>
    <w:rsid w:val="00367AE5"/>
    <w:rsid w:val="00367D71"/>
    <w:rsid w:val="00372F13"/>
    <w:rsid w:val="0038150A"/>
    <w:rsid w:val="00395A84"/>
    <w:rsid w:val="003A0E48"/>
    <w:rsid w:val="003B172E"/>
    <w:rsid w:val="003B3605"/>
    <w:rsid w:val="003B6E75"/>
    <w:rsid w:val="003B7DA1"/>
    <w:rsid w:val="003D0379"/>
    <w:rsid w:val="003D2574"/>
    <w:rsid w:val="003D4C59"/>
    <w:rsid w:val="003E78C6"/>
    <w:rsid w:val="003F3A7B"/>
    <w:rsid w:val="003F4267"/>
    <w:rsid w:val="003F6AA5"/>
    <w:rsid w:val="004003E9"/>
    <w:rsid w:val="00402750"/>
    <w:rsid w:val="00402837"/>
    <w:rsid w:val="00404032"/>
    <w:rsid w:val="0040736F"/>
    <w:rsid w:val="00412C1F"/>
    <w:rsid w:val="00421CB2"/>
    <w:rsid w:val="004268B9"/>
    <w:rsid w:val="004278A0"/>
    <w:rsid w:val="00432983"/>
    <w:rsid w:val="00432AAB"/>
    <w:rsid w:val="00433B96"/>
    <w:rsid w:val="004373F8"/>
    <w:rsid w:val="004440F1"/>
    <w:rsid w:val="004456DD"/>
    <w:rsid w:val="00446CDF"/>
    <w:rsid w:val="004521B7"/>
    <w:rsid w:val="004600AA"/>
    <w:rsid w:val="00462AB5"/>
    <w:rsid w:val="00465EAF"/>
    <w:rsid w:val="004738C5"/>
    <w:rsid w:val="00482A3A"/>
    <w:rsid w:val="00491046"/>
    <w:rsid w:val="004A2AC7"/>
    <w:rsid w:val="004A6D2F"/>
    <w:rsid w:val="004C2887"/>
    <w:rsid w:val="004C7AE1"/>
    <w:rsid w:val="004D2626"/>
    <w:rsid w:val="004D3F24"/>
    <w:rsid w:val="004D6E26"/>
    <w:rsid w:val="004D77D3"/>
    <w:rsid w:val="004E2959"/>
    <w:rsid w:val="004E3151"/>
    <w:rsid w:val="004F20EF"/>
    <w:rsid w:val="004F48B2"/>
    <w:rsid w:val="004F5E0C"/>
    <w:rsid w:val="004F7222"/>
    <w:rsid w:val="0050321C"/>
    <w:rsid w:val="0051675F"/>
    <w:rsid w:val="00517231"/>
    <w:rsid w:val="00524B3D"/>
    <w:rsid w:val="00541F4D"/>
    <w:rsid w:val="0054712D"/>
    <w:rsid w:val="00547EF6"/>
    <w:rsid w:val="00556F73"/>
    <w:rsid w:val="005570B5"/>
    <w:rsid w:val="005614C5"/>
    <w:rsid w:val="005618DB"/>
    <w:rsid w:val="00562FDD"/>
    <w:rsid w:val="00567E18"/>
    <w:rsid w:val="00572539"/>
    <w:rsid w:val="00573183"/>
    <w:rsid w:val="00575F5F"/>
    <w:rsid w:val="00581805"/>
    <w:rsid w:val="00585F76"/>
    <w:rsid w:val="005867A8"/>
    <w:rsid w:val="00591566"/>
    <w:rsid w:val="005A12A7"/>
    <w:rsid w:val="005A34E4"/>
    <w:rsid w:val="005B17F2"/>
    <w:rsid w:val="005B6C5C"/>
    <w:rsid w:val="005B7FB0"/>
    <w:rsid w:val="005C23B7"/>
    <w:rsid w:val="005C35A5"/>
    <w:rsid w:val="005C577C"/>
    <w:rsid w:val="005C7CFA"/>
    <w:rsid w:val="005D0621"/>
    <w:rsid w:val="005D1E27"/>
    <w:rsid w:val="005D2723"/>
    <w:rsid w:val="005D2A3E"/>
    <w:rsid w:val="005D4044"/>
    <w:rsid w:val="005E022E"/>
    <w:rsid w:val="005E5215"/>
    <w:rsid w:val="005F2792"/>
    <w:rsid w:val="005F7F7E"/>
    <w:rsid w:val="00607559"/>
    <w:rsid w:val="0061302C"/>
    <w:rsid w:val="00614693"/>
    <w:rsid w:val="00617CDA"/>
    <w:rsid w:val="00623C2F"/>
    <w:rsid w:val="0062683B"/>
    <w:rsid w:val="00633578"/>
    <w:rsid w:val="00635F38"/>
    <w:rsid w:val="00637068"/>
    <w:rsid w:val="0063795E"/>
    <w:rsid w:val="006478A4"/>
    <w:rsid w:val="00650811"/>
    <w:rsid w:val="00661D3E"/>
    <w:rsid w:val="00692627"/>
    <w:rsid w:val="006969E7"/>
    <w:rsid w:val="006971DC"/>
    <w:rsid w:val="006A3643"/>
    <w:rsid w:val="006B3847"/>
    <w:rsid w:val="006B3BD8"/>
    <w:rsid w:val="006C2A29"/>
    <w:rsid w:val="006C64CF"/>
    <w:rsid w:val="006D17B1"/>
    <w:rsid w:val="006D4752"/>
    <w:rsid w:val="006D708A"/>
    <w:rsid w:val="006E14C1"/>
    <w:rsid w:val="006F0073"/>
    <w:rsid w:val="006F024E"/>
    <w:rsid w:val="006F0292"/>
    <w:rsid w:val="006F1F9A"/>
    <w:rsid w:val="006F2372"/>
    <w:rsid w:val="006F27FA"/>
    <w:rsid w:val="006F416B"/>
    <w:rsid w:val="006F474D"/>
    <w:rsid w:val="006F519B"/>
    <w:rsid w:val="00707356"/>
    <w:rsid w:val="00713675"/>
    <w:rsid w:val="00715823"/>
    <w:rsid w:val="007178E4"/>
    <w:rsid w:val="00731BA5"/>
    <w:rsid w:val="007367AE"/>
    <w:rsid w:val="00737B93"/>
    <w:rsid w:val="007428A5"/>
    <w:rsid w:val="00743C36"/>
    <w:rsid w:val="00745BF0"/>
    <w:rsid w:val="00752267"/>
    <w:rsid w:val="007608D9"/>
    <w:rsid w:val="007615FE"/>
    <w:rsid w:val="0076655C"/>
    <w:rsid w:val="007742DC"/>
    <w:rsid w:val="007806B2"/>
    <w:rsid w:val="00791437"/>
    <w:rsid w:val="00791F89"/>
    <w:rsid w:val="007A2395"/>
    <w:rsid w:val="007B0C2C"/>
    <w:rsid w:val="007B0EF5"/>
    <w:rsid w:val="007B278E"/>
    <w:rsid w:val="007B4F5E"/>
    <w:rsid w:val="007B6298"/>
    <w:rsid w:val="007C025A"/>
    <w:rsid w:val="007C5BA8"/>
    <w:rsid w:val="007C5C23"/>
    <w:rsid w:val="007D45AA"/>
    <w:rsid w:val="007E2A26"/>
    <w:rsid w:val="007F06B2"/>
    <w:rsid w:val="007F2348"/>
    <w:rsid w:val="00801943"/>
    <w:rsid w:val="00801F2C"/>
    <w:rsid w:val="00802E5A"/>
    <w:rsid w:val="00803F07"/>
    <w:rsid w:val="0080749A"/>
    <w:rsid w:val="00821FB8"/>
    <w:rsid w:val="00822793"/>
    <w:rsid w:val="008228E1"/>
    <w:rsid w:val="00822ACD"/>
    <w:rsid w:val="00826FBD"/>
    <w:rsid w:val="00830AD0"/>
    <w:rsid w:val="008536F2"/>
    <w:rsid w:val="00855C66"/>
    <w:rsid w:val="0086242F"/>
    <w:rsid w:val="00871EE4"/>
    <w:rsid w:val="008758A0"/>
    <w:rsid w:val="008808F4"/>
    <w:rsid w:val="00886E1E"/>
    <w:rsid w:val="008A4E08"/>
    <w:rsid w:val="008A545D"/>
    <w:rsid w:val="008A842F"/>
    <w:rsid w:val="008B293F"/>
    <w:rsid w:val="008B7371"/>
    <w:rsid w:val="008C4630"/>
    <w:rsid w:val="008D2FFA"/>
    <w:rsid w:val="008D3DDB"/>
    <w:rsid w:val="008D5ED1"/>
    <w:rsid w:val="008F18F4"/>
    <w:rsid w:val="008F3DE1"/>
    <w:rsid w:val="008F573F"/>
    <w:rsid w:val="008F6AFB"/>
    <w:rsid w:val="009034EC"/>
    <w:rsid w:val="0092239F"/>
    <w:rsid w:val="00925353"/>
    <w:rsid w:val="0093067A"/>
    <w:rsid w:val="00941C60"/>
    <w:rsid w:val="00944FA0"/>
    <w:rsid w:val="009454BF"/>
    <w:rsid w:val="00951B5B"/>
    <w:rsid w:val="0095264E"/>
    <w:rsid w:val="009534CE"/>
    <w:rsid w:val="00956954"/>
    <w:rsid w:val="00966D42"/>
    <w:rsid w:val="00971689"/>
    <w:rsid w:val="009719B9"/>
    <w:rsid w:val="00973E90"/>
    <w:rsid w:val="00975B07"/>
    <w:rsid w:val="00980B4A"/>
    <w:rsid w:val="0099395D"/>
    <w:rsid w:val="009C1998"/>
    <w:rsid w:val="009D134B"/>
    <w:rsid w:val="009D2586"/>
    <w:rsid w:val="009D609D"/>
    <w:rsid w:val="009E3D0A"/>
    <w:rsid w:val="009E51FC"/>
    <w:rsid w:val="009F1D28"/>
    <w:rsid w:val="009F7618"/>
    <w:rsid w:val="00A04D23"/>
    <w:rsid w:val="00A06766"/>
    <w:rsid w:val="00A1136C"/>
    <w:rsid w:val="00A13765"/>
    <w:rsid w:val="00A21B12"/>
    <w:rsid w:val="00A23F80"/>
    <w:rsid w:val="00A30222"/>
    <w:rsid w:val="00A33523"/>
    <w:rsid w:val="00A4235D"/>
    <w:rsid w:val="00A46E98"/>
    <w:rsid w:val="00A563EC"/>
    <w:rsid w:val="00A57A66"/>
    <w:rsid w:val="00A630F9"/>
    <w:rsid w:val="00A6352B"/>
    <w:rsid w:val="00A701B5"/>
    <w:rsid w:val="00A714BB"/>
    <w:rsid w:val="00A7399A"/>
    <w:rsid w:val="00A73E54"/>
    <w:rsid w:val="00A83097"/>
    <w:rsid w:val="00A85B62"/>
    <w:rsid w:val="00A90F1A"/>
    <w:rsid w:val="00A92D8F"/>
    <w:rsid w:val="00AB2988"/>
    <w:rsid w:val="00AB7999"/>
    <w:rsid w:val="00AD2B39"/>
    <w:rsid w:val="00AD3292"/>
    <w:rsid w:val="00AD5761"/>
    <w:rsid w:val="00AE5669"/>
    <w:rsid w:val="00AE7AF0"/>
    <w:rsid w:val="00AF1FD0"/>
    <w:rsid w:val="00AF4EA2"/>
    <w:rsid w:val="00B11BDB"/>
    <w:rsid w:val="00B17B67"/>
    <w:rsid w:val="00B23A34"/>
    <w:rsid w:val="00B34974"/>
    <w:rsid w:val="00B46157"/>
    <w:rsid w:val="00B500CA"/>
    <w:rsid w:val="00B519EE"/>
    <w:rsid w:val="00B56FCF"/>
    <w:rsid w:val="00B653AD"/>
    <w:rsid w:val="00B67F00"/>
    <w:rsid w:val="00B81AE3"/>
    <w:rsid w:val="00B86314"/>
    <w:rsid w:val="00BA1C2E"/>
    <w:rsid w:val="00BA3DE0"/>
    <w:rsid w:val="00BA58AC"/>
    <w:rsid w:val="00BA7441"/>
    <w:rsid w:val="00BB1FF5"/>
    <w:rsid w:val="00BC200B"/>
    <w:rsid w:val="00BC4756"/>
    <w:rsid w:val="00BC69A4"/>
    <w:rsid w:val="00BC7945"/>
    <w:rsid w:val="00BD4D6D"/>
    <w:rsid w:val="00BD7C0A"/>
    <w:rsid w:val="00BE0680"/>
    <w:rsid w:val="00BE305F"/>
    <w:rsid w:val="00BE7BA3"/>
    <w:rsid w:val="00BF2679"/>
    <w:rsid w:val="00BF5682"/>
    <w:rsid w:val="00BF7B09"/>
    <w:rsid w:val="00C105AA"/>
    <w:rsid w:val="00C20A95"/>
    <w:rsid w:val="00C229E0"/>
    <w:rsid w:val="00C2603C"/>
    <w:rsid w:val="00C2692F"/>
    <w:rsid w:val="00C3207C"/>
    <w:rsid w:val="00C347A1"/>
    <w:rsid w:val="00C36A51"/>
    <w:rsid w:val="00C400E1"/>
    <w:rsid w:val="00C41187"/>
    <w:rsid w:val="00C45433"/>
    <w:rsid w:val="00C63C31"/>
    <w:rsid w:val="00C715AB"/>
    <w:rsid w:val="00C757A0"/>
    <w:rsid w:val="00C760DE"/>
    <w:rsid w:val="00C82630"/>
    <w:rsid w:val="00C85B4E"/>
    <w:rsid w:val="00C907F7"/>
    <w:rsid w:val="00C97A82"/>
    <w:rsid w:val="00CA2103"/>
    <w:rsid w:val="00CA373B"/>
    <w:rsid w:val="00CB1556"/>
    <w:rsid w:val="00CB5808"/>
    <w:rsid w:val="00CB6B99"/>
    <w:rsid w:val="00CC0603"/>
    <w:rsid w:val="00CC60CB"/>
    <w:rsid w:val="00CD394E"/>
    <w:rsid w:val="00CE14B9"/>
    <w:rsid w:val="00CE4C87"/>
    <w:rsid w:val="00CE544A"/>
    <w:rsid w:val="00D11E1C"/>
    <w:rsid w:val="00D160B0"/>
    <w:rsid w:val="00D17F94"/>
    <w:rsid w:val="00D21C8F"/>
    <w:rsid w:val="00D223FC"/>
    <w:rsid w:val="00D26D1E"/>
    <w:rsid w:val="00D3445B"/>
    <w:rsid w:val="00D359B3"/>
    <w:rsid w:val="00D42269"/>
    <w:rsid w:val="00D474CF"/>
    <w:rsid w:val="00D50ABE"/>
    <w:rsid w:val="00D52995"/>
    <w:rsid w:val="00D5369D"/>
    <w:rsid w:val="00D5547E"/>
    <w:rsid w:val="00D608F1"/>
    <w:rsid w:val="00D60AC0"/>
    <w:rsid w:val="00D63D12"/>
    <w:rsid w:val="00D677E7"/>
    <w:rsid w:val="00D7020E"/>
    <w:rsid w:val="00D764CE"/>
    <w:rsid w:val="00D80677"/>
    <w:rsid w:val="00D8630E"/>
    <w:rsid w:val="00D869A1"/>
    <w:rsid w:val="00D94419"/>
    <w:rsid w:val="00DA12AD"/>
    <w:rsid w:val="00DA413F"/>
    <w:rsid w:val="00DA4584"/>
    <w:rsid w:val="00DA614B"/>
    <w:rsid w:val="00DA6BB5"/>
    <w:rsid w:val="00DA7818"/>
    <w:rsid w:val="00DB3688"/>
    <w:rsid w:val="00DC3060"/>
    <w:rsid w:val="00DC443E"/>
    <w:rsid w:val="00DD54B4"/>
    <w:rsid w:val="00DD78CC"/>
    <w:rsid w:val="00DE0FB2"/>
    <w:rsid w:val="00DE2C4F"/>
    <w:rsid w:val="00DE3A37"/>
    <w:rsid w:val="00DE6EE7"/>
    <w:rsid w:val="00DF093E"/>
    <w:rsid w:val="00E01F42"/>
    <w:rsid w:val="00E02D65"/>
    <w:rsid w:val="00E206D6"/>
    <w:rsid w:val="00E23E44"/>
    <w:rsid w:val="00E3366E"/>
    <w:rsid w:val="00E34919"/>
    <w:rsid w:val="00E34BCE"/>
    <w:rsid w:val="00E52086"/>
    <w:rsid w:val="00E543A6"/>
    <w:rsid w:val="00E60479"/>
    <w:rsid w:val="00E61D73"/>
    <w:rsid w:val="00E73684"/>
    <w:rsid w:val="00E74DD1"/>
    <w:rsid w:val="00E818D6"/>
    <w:rsid w:val="00E87F7A"/>
    <w:rsid w:val="00E96BD7"/>
    <w:rsid w:val="00EA0DB1"/>
    <w:rsid w:val="00EA0EE9"/>
    <w:rsid w:val="00EA121C"/>
    <w:rsid w:val="00EB7DF4"/>
    <w:rsid w:val="00EC689A"/>
    <w:rsid w:val="00ED52CA"/>
    <w:rsid w:val="00ED5860"/>
    <w:rsid w:val="00ED5C19"/>
    <w:rsid w:val="00ED70AA"/>
    <w:rsid w:val="00EE07AD"/>
    <w:rsid w:val="00EE1FE9"/>
    <w:rsid w:val="00EE35C9"/>
    <w:rsid w:val="00F05ECA"/>
    <w:rsid w:val="00F070AD"/>
    <w:rsid w:val="00F10F89"/>
    <w:rsid w:val="00F1201C"/>
    <w:rsid w:val="00F14B65"/>
    <w:rsid w:val="00F1516A"/>
    <w:rsid w:val="00F3566E"/>
    <w:rsid w:val="00F375FB"/>
    <w:rsid w:val="00F41AC1"/>
    <w:rsid w:val="00F41F89"/>
    <w:rsid w:val="00F4367A"/>
    <w:rsid w:val="00F445B1"/>
    <w:rsid w:val="00F45CD4"/>
    <w:rsid w:val="00F4790D"/>
    <w:rsid w:val="00F5523C"/>
    <w:rsid w:val="00F62377"/>
    <w:rsid w:val="00F64AEB"/>
    <w:rsid w:val="00F66DCA"/>
    <w:rsid w:val="00F73E27"/>
    <w:rsid w:val="00F74F53"/>
    <w:rsid w:val="00F7606D"/>
    <w:rsid w:val="00F7701D"/>
    <w:rsid w:val="00F81670"/>
    <w:rsid w:val="00F82024"/>
    <w:rsid w:val="00F828DB"/>
    <w:rsid w:val="00F863D2"/>
    <w:rsid w:val="00F90F59"/>
    <w:rsid w:val="00F95BC9"/>
    <w:rsid w:val="00F96760"/>
    <w:rsid w:val="00FA624C"/>
    <w:rsid w:val="00FB065B"/>
    <w:rsid w:val="00FB2116"/>
    <w:rsid w:val="00FD0FAC"/>
    <w:rsid w:val="00FD1DFA"/>
    <w:rsid w:val="00FD4966"/>
    <w:rsid w:val="00FE57DC"/>
    <w:rsid w:val="01552F83"/>
    <w:rsid w:val="016B5BD0"/>
    <w:rsid w:val="018DC6D3"/>
    <w:rsid w:val="01AB077B"/>
    <w:rsid w:val="01FD7503"/>
    <w:rsid w:val="02688766"/>
    <w:rsid w:val="02C1A649"/>
    <w:rsid w:val="02D39FCF"/>
    <w:rsid w:val="03178E8A"/>
    <w:rsid w:val="031DC1E1"/>
    <w:rsid w:val="032B840C"/>
    <w:rsid w:val="04641D10"/>
    <w:rsid w:val="048E35C3"/>
    <w:rsid w:val="05BD5702"/>
    <w:rsid w:val="0607CAE4"/>
    <w:rsid w:val="066D7F28"/>
    <w:rsid w:val="06C49548"/>
    <w:rsid w:val="071DEAB6"/>
    <w:rsid w:val="07F5CCFA"/>
    <w:rsid w:val="082C64CB"/>
    <w:rsid w:val="084CC126"/>
    <w:rsid w:val="088C0A9F"/>
    <w:rsid w:val="08C64BA7"/>
    <w:rsid w:val="0944C6BF"/>
    <w:rsid w:val="09847E24"/>
    <w:rsid w:val="099B74A6"/>
    <w:rsid w:val="0A27DB00"/>
    <w:rsid w:val="0AF4CC27"/>
    <w:rsid w:val="0B41A0BC"/>
    <w:rsid w:val="0C37B893"/>
    <w:rsid w:val="0DF76B45"/>
    <w:rsid w:val="0E19B814"/>
    <w:rsid w:val="0E2F0AEB"/>
    <w:rsid w:val="0E48F44A"/>
    <w:rsid w:val="0E8157C4"/>
    <w:rsid w:val="0E9C859E"/>
    <w:rsid w:val="0EFAA4EA"/>
    <w:rsid w:val="0F2F21E7"/>
    <w:rsid w:val="102B6987"/>
    <w:rsid w:val="10D891E8"/>
    <w:rsid w:val="1112ED84"/>
    <w:rsid w:val="11C23F0B"/>
    <w:rsid w:val="11EAD920"/>
    <w:rsid w:val="12278E31"/>
    <w:rsid w:val="12BAE246"/>
    <w:rsid w:val="12FB9283"/>
    <w:rsid w:val="13597A7A"/>
    <w:rsid w:val="137D2083"/>
    <w:rsid w:val="1386FEA7"/>
    <w:rsid w:val="14180F01"/>
    <w:rsid w:val="14800958"/>
    <w:rsid w:val="14A58975"/>
    <w:rsid w:val="14FA4FE9"/>
    <w:rsid w:val="1565FC97"/>
    <w:rsid w:val="157956ED"/>
    <w:rsid w:val="164159D6"/>
    <w:rsid w:val="16727037"/>
    <w:rsid w:val="16DFBF57"/>
    <w:rsid w:val="172725DA"/>
    <w:rsid w:val="17532CE4"/>
    <w:rsid w:val="17EA8413"/>
    <w:rsid w:val="187F3977"/>
    <w:rsid w:val="18C66E5C"/>
    <w:rsid w:val="19AA10F9"/>
    <w:rsid w:val="1A181B50"/>
    <w:rsid w:val="1A96EDEE"/>
    <w:rsid w:val="1B1A40C4"/>
    <w:rsid w:val="1B4FF8F4"/>
    <w:rsid w:val="1B72BE0E"/>
    <w:rsid w:val="1BB3EBB1"/>
    <w:rsid w:val="1C00037F"/>
    <w:rsid w:val="1C1EF729"/>
    <w:rsid w:val="1C5B79FD"/>
    <w:rsid w:val="1D1FD395"/>
    <w:rsid w:val="1E0C224D"/>
    <w:rsid w:val="1E5B9B10"/>
    <w:rsid w:val="1FB248CB"/>
    <w:rsid w:val="1FCF57F0"/>
    <w:rsid w:val="1FE96DCD"/>
    <w:rsid w:val="1FFF34C3"/>
    <w:rsid w:val="20C252DD"/>
    <w:rsid w:val="20F3ED56"/>
    <w:rsid w:val="21672A5F"/>
    <w:rsid w:val="21B975E3"/>
    <w:rsid w:val="22F9550C"/>
    <w:rsid w:val="23522434"/>
    <w:rsid w:val="235F4295"/>
    <w:rsid w:val="2397B9B2"/>
    <w:rsid w:val="23B4D56D"/>
    <w:rsid w:val="23F075C3"/>
    <w:rsid w:val="23FB97DC"/>
    <w:rsid w:val="240D23CD"/>
    <w:rsid w:val="24B25987"/>
    <w:rsid w:val="25408B32"/>
    <w:rsid w:val="258E573E"/>
    <w:rsid w:val="25B86D74"/>
    <w:rsid w:val="25BE814A"/>
    <w:rsid w:val="25D6A82C"/>
    <w:rsid w:val="25E97E32"/>
    <w:rsid w:val="2638058D"/>
    <w:rsid w:val="26908187"/>
    <w:rsid w:val="26AA74F4"/>
    <w:rsid w:val="26C4E790"/>
    <w:rsid w:val="26C714ED"/>
    <w:rsid w:val="26D7E750"/>
    <w:rsid w:val="274B4093"/>
    <w:rsid w:val="2791B1A8"/>
    <w:rsid w:val="27929EFF"/>
    <w:rsid w:val="27CDDEE3"/>
    <w:rsid w:val="27E85A4B"/>
    <w:rsid w:val="28A5E6E0"/>
    <w:rsid w:val="29294437"/>
    <w:rsid w:val="293B347B"/>
    <w:rsid w:val="29496A36"/>
    <w:rsid w:val="294E82BA"/>
    <w:rsid w:val="29C33470"/>
    <w:rsid w:val="29DAE77B"/>
    <w:rsid w:val="2A0A7357"/>
    <w:rsid w:val="2A13FC55"/>
    <w:rsid w:val="2A82F3B6"/>
    <w:rsid w:val="2AAA194F"/>
    <w:rsid w:val="2AEA531B"/>
    <w:rsid w:val="2C27C753"/>
    <w:rsid w:val="2C870EF5"/>
    <w:rsid w:val="2CF59C04"/>
    <w:rsid w:val="2D1FB856"/>
    <w:rsid w:val="2E0EA59E"/>
    <w:rsid w:val="2E72D396"/>
    <w:rsid w:val="2EBDB979"/>
    <w:rsid w:val="2F2EE52B"/>
    <w:rsid w:val="2F47358B"/>
    <w:rsid w:val="2FB0918A"/>
    <w:rsid w:val="2FE3F5F4"/>
    <w:rsid w:val="3003F266"/>
    <w:rsid w:val="30160589"/>
    <w:rsid w:val="306557F8"/>
    <w:rsid w:val="30D4422B"/>
    <w:rsid w:val="31295FC5"/>
    <w:rsid w:val="323A6FBC"/>
    <w:rsid w:val="325CC2E8"/>
    <w:rsid w:val="32E80FB1"/>
    <w:rsid w:val="33893A87"/>
    <w:rsid w:val="340B657E"/>
    <w:rsid w:val="342B2C01"/>
    <w:rsid w:val="347DE722"/>
    <w:rsid w:val="34872336"/>
    <w:rsid w:val="34E7FBA5"/>
    <w:rsid w:val="34E7FBA5"/>
    <w:rsid w:val="3510F080"/>
    <w:rsid w:val="3636F267"/>
    <w:rsid w:val="3654B772"/>
    <w:rsid w:val="365A9A1A"/>
    <w:rsid w:val="36730EBB"/>
    <w:rsid w:val="3695E687"/>
    <w:rsid w:val="36FFAA95"/>
    <w:rsid w:val="3730340B"/>
    <w:rsid w:val="37688391"/>
    <w:rsid w:val="382F98AB"/>
    <w:rsid w:val="3A402C93"/>
    <w:rsid w:val="3AF7B996"/>
    <w:rsid w:val="3B272787"/>
    <w:rsid w:val="3BD771B4"/>
    <w:rsid w:val="3BF07E79"/>
    <w:rsid w:val="3DD88E12"/>
    <w:rsid w:val="3DF507B2"/>
    <w:rsid w:val="3E0BAD87"/>
    <w:rsid w:val="3E3E3B65"/>
    <w:rsid w:val="3EB84500"/>
    <w:rsid w:val="3EB84500"/>
    <w:rsid w:val="3EBCD217"/>
    <w:rsid w:val="3ED4C45C"/>
    <w:rsid w:val="3EE7D238"/>
    <w:rsid w:val="3F22730E"/>
    <w:rsid w:val="3FE1F032"/>
    <w:rsid w:val="3FF21A90"/>
    <w:rsid w:val="40632A3A"/>
    <w:rsid w:val="4083A299"/>
    <w:rsid w:val="40E693BA"/>
    <w:rsid w:val="4128222D"/>
    <w:rsid w:val="41A6431C"/>
    <w:rsid w:val="41AE3B3A"/>
    <w:rsid w:val="422AAEFD"/>
    <w:rsid w:val="423C12EF"/>
    <w:rsid w:val="432223AA"/>
    <w:rsid w:val="4398D477"/>
    <w:rsid w:val="43AFC53E"/>
    <w:rsid w:val="43F53992"/>
    <w:rsid w:val="43FFE498"/>
    <w:rsid w:val="4501599E"/>
    <w:rsid w:val="452733B9"/>
    <w:rsid w:val="456D5344"/>
    <w:rsid w:val="45FB9350"/>
    <w:rsid w:val="4665FADB"/>
    <w:rsid w:val="4670ABFD"/>
    <w:rsid w:val="4685220A"/>
    <w:rsid w:val="46A7356F"/>
    <w:rsid w:val="46C3041A"/>
    <w:rsid w:val="4736EDF8"/>
    <w:rsid w:val="4762779A"/>
    <w:rsid w:val="47AC52B5"/>
    <w:rsid w:val="487B93F7"/>
    <w:rsid w:val="491555EF"/>
    <w:rsid w:val="495B66B2"/>
    <w:rsid w:val="495C5CC3"/>
    <w:rsid w:val="495DD3F7"/>
    <w:rsid w:val="4986B1DB"/>
    <w:rsid w:val="4B31D942"/>
    <w:rsid w:val="4B892698"/>
    <w:rsid w:val="4C11E7E4"/>
    <w:rsid w:val="4C2F5755"/>
    <w:rsid w:val="4C53F884"/>
    <w:rsid w:val="4CAA5C06"/>
    <w:rsid w:val="4CB214A4"/>
    <w:rsid w:val="4D72D46B"/>
    <w:rsid w:val="4D95DEA5"/>
    <w:rsid w:val="4E7C63E2"/>
    <w:rsid w:val="4E7DDA77"/>
    <w:rsid w:val="4F1FA1D4"/>
    <w:rsid w:val="4F2C3575"/>
    <w:rsid w:val="4F6590B4"/>
    <w:rsid w:val="4F6BFD35"/>
    <w:rsid w:val="4FD742D3"/>
    <w:rsid w:val="501CECFB"/>
    <w:rsid w:val="50D5A4BB"/>
    <w:rsid w:val="512661E0"/>
    <w:rsid w:val="51B954D4"/>
    <w:rsid w:val="51C7D4B1"/>
    <w:rsid w:val="51D443C1"/>
    <w:rsid w:val="51DED259"/>
    <w:rsid w:val="52702378"/>
    <w:rsid w:val="527A00EC"/>
    <w:rsid w:val="52A9A5BE"/>
    <w:rsid w:val="52ACCE5E"/>
    <w:rsid w:val="5308A137"/>
    <w:rsid w:val="534AF4BC"/>
    <w:rsid w:val="53673801"/>
    <w:rsid w:val="539646E6"/>
    <w:rsid w:val="53A1F04D"/>
    <w:rsid w:val="540B1A46"/>
    <w:rsid w:val="547EA015"/>
    <w:rsid w:val="54DC92C9"/>
    <w:rsid w:val="54E8F397"/>
    <w:rsid w:val="553383A0"/>
    <w:rsid w:val="55409A8E"/>
    <w:rsid w:val="558CB6D2"/>
    <w:rsid w:val="5592D25D"/>
    <w:rsid w:val="55A00511"/>
    <w:rsid w:val="55F0D69A"/>
    <w:rsid w:val="56610A69"/>
    <w:rsid w:val="56780F5E"/>
    <w:rsid w:val="56FB9BA6"/>
    <w:rsid w:val="572178FC"/>
    <w:rsid w:val="5747B3EA"/>
    <w:rsid w:val="579CB459"/>
    <w:rsid w:val="581937FE"/>
    <w:rsid w:val="5899545E"/>
    <w:rsid w:val="58FC98E9"/>
    <w:rsid w:val="5933BAD5"/>
    <w:rsid w:val="5944B148"/>
    <w:rsid w:val="599CA396"/>
    <w:rsid w:val="5A6027F5"/>
    <w:rsid w:val="5A622208"/>
    <w:rsid w:val="5A6A9DF7"/>
    <w:rsid w:val="5A6CBD0D"/>
    <w:rsid w:val="5A6FCC7E"/>
    <w:rsid w:val="5A7FE0A4"/>
    <w:rsid w:val="5AB34F33"/>
    <w:rsid w:val="5AEB633C"/>
    <w:rsid w:val="5B4F89FB"/>
    <w:rsid w:val="5B59217D"/>
    <w:rsid w:val="5BCA24E8"/>
    <w:rsid w:val="5BF7D70E"/>
    <w:rsid w:val="5C2C3286"/>
    <w:rsid w:val="5C7227CB"/>
    <w:rsid w:val="5C8DF616"/>
    <w:rsid w:val="5CB82AE1"/>
    <w:rsid w:val="5E1AFEBE"/>
    <w:rsid w:val="5E2FE9DC"/>
    <w:rsid w:val="5E3D8A3A"/>
    <w:rsid w:val="5EC13D89"/>
    <w:rsid w:val="5EC64D34"/>
    <w:rsid w:val="5EEBC8CC"/>
    <w:rsid w:val="5FEB26CB"/>
    <w:rsid w:val="5FF2B071"/>
    <w:rsid w:val="61AAC149"/>
    <w:rsid w:val="61C474CF"/>
    <w:rsid w:val="61E5E601"/>
    <w:rsid w:val="623FCB79"/>
    <w:rsid w:val="62A538BB"/>
    <w:rsid w:val="62BBECF2"/>
    <w:rsid w:val="62DEFF4B"/>
    <w:rsid w:val="62F0B3A5"/>
    <w:rsid w:val="63E5BD03"/>
    <w:rsid w:val="642EAA54"/>
    <w:rsid w:val="6438DF0F"/>
    <w:rsid w:val="6441091C"/>
    <w:rsid w:val="6467B316"/>
    <w:rsid w:val="64EDE409"/>
    <w:rsid w:val="65C33234"/>
    <w:rsid w:val="65C7CC36"/>
    <w:rsid w:val="670E387F"/>
    <w:rsid w:val="67323788"/>
    <w:rsid w:val="67E613E4"/>
    <w:rsid w:val="680EA965"/>
    <w:rsid w:val="687437A6"/>
    <w:rsid w:val="693D4B42"/>
    <w:rsid w:val="69650527"/>
    <w:rsid w:val="69868101"/>
    <w:rsid w:val="69C94FAC"/>
    <w:rsid w:val="6A0101AE"/>
    <w:rsid w:val="6A8B8336"/>
    <w:rsid w:val="6A8DDDCE"/>
    <w:rsid w:val="6ABF4F00"/>
    <w:rsid w:val="6B1DB4A6"/>
    <w:rsid w:val="6B33077C"/>
    <w:rsid w:val="6B65200D"/>
    <w:rsid w:val="6B908D0C"/>
    <w:rsid w:val="6C02F83A"/>
    <w:rsid w:val="6C352B61"/>
    <w:rsid w:val="6C79B4FD"/>
    <w:rsid w:val="6C9129E4"/>
    <w:rsid w:val="6CA09A72"/>
    <w:rsid w:val="6CD7823A"/>
    <w:rsid w:val="6D0BF5E7"/>
    <w:rsid w:val="6D2182A1"/>
    <w:rsid w:val="6D87AF51"/>
    <w:rsid w:val="6E5E9D66"/>
    <w:rsid w:val="6E914883"/>
    <w:rsid w:val="6EB50227"/>
    <w:rsid w:val="6FBE43C4"/>
    <w:rsid w:val="6FED2694"/>
    <w:rsid w:val="6FFA6DC7"/>
    <w:rsid w:val="7000137A"/>
    <w:rsid w:val="70389130"/>
    <w:rsid w:val="704E967C"/>
    <w:rsid w:val="70737085"/>
    <w:rsid w:val="7095C666"/>
    <w:rsid w:val="723FB17A"/>
    <w:rsid w:val="7281D128"/>
    <w:rsid w:val="72E04B61"/>
    <w:rsid w:val="7357D6F2"/>
    <w:rsid w:val="73E0954E"/>
    <w:rsid w:val="74207C06"/>
    <w:rsid w:val="746B730E"/>
    <w:rsid w:val="75E277BC"/>
    <w:rsid w:val="75F3E66E"/>
    <w:rsid w:val="7722A005"/>
    <w:rsid w:val="775E065F"/>
    <w:rsid w:val="77C8BED3"/>
    <w:rsid w:val="7818577B"/>
    <w:rsid w:val="7829F85F"/>
    <w:rsid w:val="78E57FDC"/>
    <w:rsid w:val="79399767"/>
    <w:rsid w:val="7965CE18"/>
    <w:rsid w:val="798525D4"/>
    <w:rsid w:val="79E802B3"/>
    <w:rsid w:val="7A31FC1F"/>
    <w:rsid w:val="7A609FF3"/>
    <w:rsid w:val="7AE2C711"/>
    <w:rsid w:val="7B04C56B"/>
    <w:rsid w:val="7B392ED6"/>
    <w:rsid w:val="7B781B03"/>
    <w:rsid w:val="7C508508"/>
    <w:rsid w:val="7CA2405A"/>
    <w:rsid w:val="7CB092B8"/>
    <w:rsid w:val="7CE9B223"/>
    <w:rsid w:val="7D722DCF"/>
    <w:rsid w:val="7DC279FD"/>
    <w:rsid w:val="7E1A1CD8"/>
    <w:rsid w:val="7E1A1CD8"/>
    <w:rsid w:val="7E279F5E"/>
    <w:rsid w:val="7E7134B0"/>
    <w:rsid w:val="7E7366B8"/>
    <w:rsid w:val="7EB229EA"/>
    <w:rsid w:val="7F56C09D"/>
    <w:rsid w:val="7F725DE7"/>
    <w:rsid w:val="7F8D309D"/>
    <w:rsid w:val="7FB8BA58"/>
    <w:rsid w:val="7FF4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615B9E"/>
  <w15:docId w15:val="{DAB018A2-A296-41ED-98D4-FB15246F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08F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hAnsi="Arial Unicode MS" w:eastAsia="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styleId="StyleBulletedSymbolsymbolLeft063cmHanging063cm" w:customStyle="1">
    <w:name w:val="Style Bulleted Symbol (symbol) Left:  0.63 cm Hanging:  0.63 cm"/>
    <w:basedOn w:val="NoList"/>
    <w:rsid w:val="00E818D6"/>
    <w:pPr>
      <w:numPr>
        <w:numId w:val="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4"/>
      </w:numPr>
      <w:tabs>
        <w:tab w:val="left" w:pos="426"/>
      </w:tabs>
    </w:pPr>
  </w:style>
  <w:style w:type="character" w:styleId="HeaderChar" w:customStyle="1">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styleId="Tableandfigurecaption" w:customStyle="1">
    <w:name w:val="Table and figure caption"/>
    <w:basedOn w:val="Heading2"/>
    <w:rsid w:val="00692627"/>
    <w:pPr>
      <w:ind w:left="360"/>
    </w:pPr>
    <w:rPr>
      <w:bCs/>
      <w:szCs w:val="20"/>
    </w:rPr>
  </w:style>
  <w:style w:type="numbering" w:styleId="StyleNumberedLeft0cmHanging075cm" w:customStyle="1">
    <w:name w:val="Style Numbered Left:  0 cm Hanging:  0.75 cm"/>
    <w:basedOn w:val="NoList"/>
    <w:rsid w:val="00E818D6"/>
    <w:pPr>
      <w:numPr>
        <w:numId w:val="3"/>
      </w:numPr>
    </w:pPr>
  </w:style>
  <w:style w:type="paragraph" w:styleId="Bulletpoints" w:customStyle="1">
    <w:name w:val="Bullet points"/>
    <w:basedOn w:val="Normal"/>
    <w:link w:val="BulletpointsChar"/>
    <w:qFormat/>
    <w:rsid w:val="005570B5"/>
    <w:pPr>
      <w:numPr>
        <w:numId w:val="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styleId="BulletpointsChar" w:customStyle="1">
    <w:name w:val="Bullet points Char"/>
    <w:link w:val="Bulletpoints"/>
    <w:rsid w:val="005570B5"/>
    <w:rPr>
      <w:color w:val="000000"/>
      <w:sz w:val="24"/>
      <w:szCs w:val="24"/>
    </w:rPr>
  </w:style>
  <w:style w:type="character" w:styleId="QuoteChar" w:customStyle="1">
    <w:name w:val="Quote Char"/>
    <w:link w:val="Quote"/>
    <w:uiPriority w:val="29"/>
    <w:rsid w:val="004A6D2F"/>
    <w:rPr>
      <w:rFonts w:ascii="Arial" w:hAnsi="Arial"/>
      <w:i/>
      <w:iCs/>
      <w:color w:val="000000"/>
      <w:sz w:val="24"/>
      <w:szCs w:val="24"/>
      <w:lang w:eastAsia="en-US"/>
    </w:rPr>
  </w:style>
  <w:style w:type="character" w:styleId="Firstpagetablebold" w:customStyle="1">
    <w:name w:val="First page table: bold"/>
    <w:qFormat/>
    <w:rsid w:val="005D1E27"/>
    <w:rPr>
      <w:rFonts w:ascii="Arial" w:hAnsi="Arial"/>
      <w:b/>
      <w:sz w:val="24"/>
    </w:rPr>
  </w:style>
  <w:style w:type="paragraph" w:styleId="bParagraphtext" w:customStyle="1">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styleId="ListParagraphChar" w:customStyle="1">
    <w:name w:val="List Paragraph Char"/>
    <w:link w:val="ListParagraph"/>
    <w:uiPriority w:val="34"/>
    <w:rsid w:val="005570B5"/>
    <w:rPr>
      <w:color w:val="000000"/>
      <w:sz w:val="24"/>
      <w:szCs w:val="24"/>
    </w:rPr>
  </w:style>
  <w:style w:type="character" w:styleId="bParagraphtextChar" w:customStyle="1">
    <w:name w:val="bParagraph text Char"/>
    <w:link w:val="bParagraphtext"/>
    <w:rsid w:val="005570B5"/>
    <w:rPr>
      <w:color w:val="000000"/>
      <w:sz w:val="24"/>
      <w:szCs w:val="24"/>
    </w:rPr>
  </w:style>
  <w:style w:type="paragraph" w:styleId="Numberedlist" w:customStyle="1">
    <w:name w:val="Numbered list"/>
    <w:basedOn w:val="Bulletpoints"/>
    <w:link w:val="NumberedlistChar"/>
    <w:qFormat/>
    <w:rsid w:val="004738C5"/>
    <w:pPr>
      <w:numPr>
        <w:numId w:val="7"/>
      </w:numPr>
      <w:ind w:left="993" w:hanging="426"/>
    </w:pPr>
  </w:style>
  <w:style w:type="character" w:styleId="Heading1Char" w:customStyle="1">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styleId="NumberedlistChar" w:customStyle="1">
    <w:name w:val="Numbered list Char"/>
    <w:link w:val="Numberedlist"/>
    <w:rsid w:val="004738C5"/>
    <w:rPr>
      <w:color w:val="000000"/>
      <w:sz w:val="24"/>
      <w:szCs w:val="24"/>
    </w:rPr>
  </w:style>
  <w:style w:type="paragraph" w:styleId="Default" w:customStyle="1">
    <w:name w:val="Default"/>
    <w:rsid w:val="00C347A1"/>
    <w:pPr>
      <w:autoSpaceDE w:val="0"/>
      <w:autoSpaceDN w:val="0"/>
      <w:adjustRightInd w:val="0"/>
    </w:pPr>
    <w:rPr>
      <w:rFonts w:cs="Arial" w:eastAsiaTheme="minorHAnsi"/>
      <w:color w:val="000000"/>
      <w:sz w:val="24"/>
      <w:szCs w:val="24"/>
      <w:lang w:eastAsia="en-US"/>
    </w:rPr>
  </w:style>
  <w:style w:type="character" w:styleId="Mention1" w:customStyle="1">
    <w:name w:val="Mention1"/>
    <w:basedOn w:val="DefaultParagraphFont"/>
    <w:uiPriority w:val="99"/>
    <w:unhideWhenUsed/>
    <w:rsid w:val="005C23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499230">
      <w:bodyDiv w:val="1"/>
      <w:marLeft w:val="0"/>
      <w:marRight w:val="0"/>
      <w:marTop w:val="0"/>
      <w:marBottom w:val="0"/>
      <w:divBdr>
        <w:top w:val="none" w:sz="0" w:space="0" w:color="auto"/>
        <w:left w:val="none" w:sz="0" w:space="0" w:color="auto"/>
        <w:bottom w:val="none" w:sz="0" w:space="0" w:color="auto"/>
        <w:right w:val="none" w:sz="0" w:space="0" w:color="auto"/>
      </w:divBdr>
      <w:divsChild>
        <w:div w:id="1844708265">
          <w:marLeft w:val="0"/>
          <w:marRight w:val="0"/>
          <w:marTop w:val="0"/>
          <w:marBottom w:val="0"/>
          <w:divBdr>
            <w:top w:val="none" w:sz="0" w:space="0" w:color="auto"/>
            <w:left w:val="none" w:sz="0" w:space="0" w:color="auto"/>
            <w:bottom w:val="none" w:sz="0" w:space="0" w:color="auto"/>
            <w:right w:val="none" w:sz="0" w:space="0" w:color="auto"/>
          </w:divBdr>
        </w:div>
        <w:div w:id="2022123667">
          <w:marLeft w:val="0"/>
          <w:marRight w:val="0"/>
          <w:marTop w:val="0"/>
          <w:marBottom w:val="0"/>
          <w:divBdr>
            <w:top w:val="none" w:sz="0" w:space="0" w:color="auto"/>
            <w:left w:val="none" w:sz="0" w:space="0" w:color="auto"/>
            <w:bottom w:val="none" w:sz="0" w:space="0" w:color="auto"/>
            <w:right w:val="none" w:sz="0" w:space="0" w:color="auto"/>
          </w:divBdr>
        </w:div>
        <w:div w:id="292835344">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26120179d6b94ee7" /><Relationship Type="http://schemas.microsoft.com/office/2016/09/relationships/commentsIds" Target="commentsIds.xml" Id="R270242c1c65f41c9" /><Relationship Type="http://schemas.openxmlformats.org/officeDocument/2006/relationships/hyperlink" Target="http://www.oxford.gov.uk/downloads/file/7645/occ_local_plan_2040_-_issues_consultation_paper" TargetMode="External" Id="Refaf754c640142a8" /><Relationship Type="http://schemas.openxmlformats.org/officeDocument/2006/relationships/hyperlink" Target="http://www.oxford.gov.uk/downloads/file/8095/occ_local_plan_2040_report_on_public_consultation_-_issues" TargetMode="External" Id="R3b35848cf33f494a" /><Relationship Type="http://schemas.openxmlformats.org/officeDocument/2006/relationships/hyperlink" Target="https://www.oxford.gov.uk/downloads/file/8454/preferred_options_regulation_18_part_1_consultation_report" TargetMode="External" Id="Rabaf61bd6b5e4546" /><Relationship Type="http://schemas.openxmlformats.org/officeDocument/2006/relationships/hyperlink" Target="https://www.oxford.gov.uk/downloads/file/8563/preferred_options_regulation_18_part_2_consultation_report" TargetMode="External" Id="R5c5224f2f61c4ab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4BD3D42B-B9DF-42FA-9E2E-652652D774D6}">
  <ds:schemaRefs>
    <ds:schemaRef ds:uri="http://schemas.openxmlformats.org/officeDocument/2006/bibliography"/>
  </ds:schemaRefs>
</ds:datastoreItem>
</file>

<file path=customXml/itemProps2.xml><?xml version="1.0" encoding="utf-8"?>
<ds:datastoreItem xmlns:ds="http://schemas.openxmlformats.org/officeDocument/2006/customXml" ds:itemID="{9CD2A2CF-1AEE-4034-8A8C-7243A71B8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1D5D6-552A-439F-87A5-FCD135FAB555}">
  <ds:schemaRefs>
    <ds:schemaRef ds:uri="http://schemas.microsoft.com/sharepoint/v3/contenttype/forms"/>
  </ds:schemaRefs>
</ds:datastoreItem>
</file>

<file path=customXml/itemProps4.xml><?xml version="1.0" encoding="utf-8"?>
<ds:datastoreItem xmlns:ds="http://schemas.openxmlformats.org/officeDocument/2006/customXml" ds:itemID="{A06425C6-B713-4773-B759-2995161ADDDF}">
  <ds:schemaRefs>
    <ds:schemaRef ds:uri="http://purl.org/dc/elements/1.1/"/>
    <ds:schemaRef ds:uri="http://schemas.openxmlformats.org/package/2006/metadata/core-properties"/>
    <ds:schemaRef ds:uri="http://purl.org/dc/terms/"/>
    <ds:schemaRef ds:uri="deb32180-f6be-4156-bd87-94caf0a8a105"/>
    <ds:schemaRef ds:uri="http://schemas.microsoft.com/office/2006/documentManagement/types"/>
    <ds:schemaRef ds:uri="http://schemas.microsoft.com/office/2006/metadata/properties"/>
    <ds:schemaRef ds:uri="3a4bcc9d-2574-4af6-ad8f-d0baa2bb729f"/>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HARRISON Sarah B.</cp:lastModifiedBy>
  <cp:revision>10</cp:revision>
  <cp:lastPrinted>2015-07-03T12:50:00Z</cp:lastPrinted>
  <dcterms:created xsi:type="dcterms:W3CDTF">2023-09-15T10:03:00Z</dcterms:created>
  <dcterms:modified xsi:type="dcterms:W3CDTF">2023-10-30T12:02:40Z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